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4F47" w14:textId="77777777" w:rsidR="00671F23" w:rsidRDefault="00671F23" w:rsidP="0078072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0A08A1D2" wp14:editId="0834ADA4">
            <wp:simplePos x="0" y="0"/>
            <wp:positionH relativeFrom="column">
              <wp:posOffset>2266950</wp:posOffset>
            </wp:positionH>
            <wp:positionV relativeFrom="paragraph">
              <wp:posOffset>-295275</wp:posOffset>
            </wp:positionV>
            <wp:extent cx="122872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433" y="21032"/>
                <wp:lineTo x="21433" y="0"/>
                <wp:lineTo x="0" y="0"/>
              </wp:wrapPolygon>
            </wp:wrapTight>
            <wp:docPr id="2" name="Picture 2" descr="logo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- Cop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B2B3D" w14:textId="77777777" w:rsidR="008D1538" w:rsidRDefault="0078072C" w:rsidP="0078072C">
      <w:pPr>
        <w:jc w:val="center"/>
        <w:rPr>
          <w:b/>
          <w:sz w:val="40"/>
          <w:szCs w:val="40"/>
        </w:rPr>
      </w:pPr>
      <w:r w:rsidRPr="0078072C">
        <w:rPr>
          <w:b/>
          <w:sz w:val="40"/>
          <w:szCs w:val="40"/>
        </w:rPr>
        <w:t xml:space="preserve">Getting </w:t>
      </w:r>
      <w:r>
        <w:rPr>
          <w:b/>
          <w:sz w:val="40"/>
          <w:szCs w:val="40"/>
        </w:rPr>
        <w:t>Back o</w:t>
      </w:r>
      <w:r w:rsidRPr="0078072C">
        <w:rPr>
          <w:b/>
          <w:sz w:val="40"/>
          <w:szCs w:val="40"/>
        </w:rPr>
        <w:t>n Track</w:t>
      </w:r>
    </w:p>
    <w:p w14:paraId="246691D6" w14:textId="77777777" w:rsidR="00671F23" w:rsidRPr="00671F23" w:rsidRDefault="00671F23" w:rsidP="0078072C">
      <w:pPr>
        <w:jc w:val="center"/>
        <w:rPr>
          <w:b/>
          <w:sz w:val="24"/>
          <w:szCs w:val="24"/>
        </w:rPr>
      </w:pPr>
      <w:r w:rsidRPr="00671F23">
        <w:rPr>
          <w:b/>
          <w:sz w:val="24"/>
          <w:szCs w:val="24"/>
        </w:rPr>
        <w:t xml:space="preserve">A plan for </w:t>
      </w:r>
      <w:r>
        <w:rPr>
          <w:b/>
          <w:sz w:val="24"/>
          <w:szCs w:val="24"/>
        </w:rPr>
        <w:t>a</w:t>
      </w:r>
      <w:r w:rsidRPr="00671F23">
        <w:rPr>
          <w:b/>
          <w:sz w:val="24"/>
          <w:szCs w:val="24"/>
        </w:rPr>
        <w:t xml:space="preserve">ll children to achieve ARE by </w:t>
      </w:r>
      <w:r>
        <w:rPr>
          <w:b/>
          <w:sz w:val="24"/>
          <w:szCs w:val="24"/>
        </w:rP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72C" w14:paraId="4DF9C18C" w14:textId="77777777" w:rsidTr="00C00E58">
        <w:tc>
          <w:tcPr>
            <w:tcW w:w="9242" w:type="dxa"/>
            <w:shd w:val="clear" w:color="auto" w:fill="548DD4" w:themeFill="text2" w:themeFillTint="99"/>
          </w:tcPr>
          <w:p w14:paraId="0DF58DF2" w14:textId="77777777" w:rsidR="0078072C" w:rsidRDefault="0078072C" w:rsidP="0078072C">
            <w:pPr>
              <w:jc w:val="center"/>
            </w:pPr>
          </w:p>
          <w:p w14:paraId="2053302B" w14:textId="77777777" w:rsidR="0078072C" w:rsidRPr="0078072C" w:rsidRDefault="0078072C" w:rsidP="0078072C">
            <w:pPr>
              <w:jc w:val="center"/>
              <w:rPr>
                <w:b/>
                <w:sz w:val="32"/>
                <w:szCs w:val="32"/>
              </w:rPr>
            </w:pPr>
            <w:r w:rsidRPr="0078072C">
              <w:rPr>
                <w:b/>
                <w:sz w:val="32"/>
                <w:szCs w:val="32"/>
              </w:rPr>
              <w:t>Wellbeing</w:t>
            </w:r>
          </w:p>
          <w:p w14:paraId="326B9E64" w14:textId="77777777" w:rsidR="002B3F87" w:rsidRDefault="00262708" w:rsidP="002B3F87">
            <w:pPr>
              <w:jc w:val="center"/>
              <w:rPr>
                <w:sz w:val="24"/>
                <w:szCs w:val="24"/>
                <w:u w:val="single"/>
              </w:rPr>
            </w:pPr>
            <w:r w:rsidRPr="00484A75">
              <w:rPr>
                <w:sz w:val="24"/>
                <w:szCs w:val="24"/>
                <w:u w:val="single"/>
              </w:rPr>
              <w:t>Ensures each child is h</w:t>
            </w:r>
            <w:r w:rsidR="0078072C" w:rsidRPr="00484A75">
              <w:rPr>
                <w:sz w:val="24"/>
                <w:szCs w:val="24"/>
                <w:u w:val="single"/>
              </w:rPr>
              <w:t>appy and settled at school</w:t>
            </w:r>
          </w:p>
          <w:p w14:paraId="65A821B7" w14:textId="77777777" w:rsidR="00A95219" w:rsidRPr="00A95219" w:rsidRDefault="00A95219" w:rsidP="002B3F87">
            <w:pPr>
              <w:jc w:val="center"/>
              <w:rPr>
                <w:sz w:val="24"/>
                <w:szCs w:val="24"/>
              </w:rPr>
            </w:pPr>
            <w:r w:rsidRPr="00A95219">
              <w:rPr>
                <w:sz w:val="24"/>
                <w:szCs w:val="24"/>
              </w:rPr>
              <w:t>Reconnecting with school</w:t>
            </w:r>
            <w:r w:rsidR="00671F23">
              <w:rPr>
                <w:sz w:val="24"/>
                <w:szCs w:val="24"/>
              </w:rPr>
              <w:t xml:space="preserve"> expectations and routines</w:t>
            </w:r>
          </w:p>
          <w:p w14:paraId="7E225CF1" w14:textId="77777777" w:rsidR="00484A75" w:rsidRDefault="00671F23" w:rsidP="002B3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h</w:t>
            </w:r>
            <w:r w:rsidR="00484A75">
              <w:rPr>
                <w:sz w:val="24"/>
                <w:szCs w:val="24"/>
              </w:rPr>
              <w:t xml:space="preserve">ow to be C19 </w:t>
            </w:r>
            <w:r w:rsidR="00A95219">
              <w:rPr>
                <w:sz w:val="24"/>
                <w:szCs w:val="24"/>
              </w:rPr>
              <w:t xml:space="preserve">safe </w:t>
            </w:r>
          </w:p>
          <w:p w14:paraId="0754863C" w14:textId="77777777" w:rsidR="00484A75" w:rsidRPr="00484A75" w:rsidRDefault="00A95219" w:rsidP="002B3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84A75" w:rsidRPr="00484A75">
              <w:rPr>
                <w:sz w:val="24"/>
                <w:szCs w:val="24"/>
              </w:rPr>
              <w:t>ebuild</w:t>
            </w:r>
            <w:r>
              <w:rPr>
                <w:sz w:val="24"/>
                <w:szCs w:val="24"/>
              </w:rPr>
              <w:t>ing</w:t>
            </w:r>
            <w:r w:rsidR="00484A75" w:rsidRPr="00484A75">
              <w:rPr>
                <w:sz w:val="24"/>
                <w:szCs w:val="24"/>
              </w:rPr>
              <w:t xml:space="preserve"> </w:t>
            </w:r>
            <w:r w:rsidR="00484A75">
              <w:rPr>
                <w:sz w:val="24"/>
                <w:szCs w:val="24"/>
              </w:rPr>
              <w:t xml:space="preserve">relationships with </w:t>
            </w:r>
            <w:r>
              <w:rPr>
                <w:sz w:val="24"/>
                <w:szCs w:val="24"/>
              </w:rPr>
              <w:t xml:space="preserve">friends and </w:t>
            </w:r>
            <w:r w:rsidR="00484A75">
              <w:rPr>
                <w:sz w:val="24"/>
                <w:szCs w:val="24"/>
              </w:rPr>
              <w:t>staff</w:t>
            </w:r>
          </w:p>
          <w:p w14:paraId="50AE68DD" w14:textId="77777777" w:rsidR="0078072C" w:rsidRDefault="0078072C" w:rsidP="00484A75"/>
        </w:tc>
      </w:tr>
    </w:tbl>
    <w:p w14:paraId="0182FAD8" w14:textId="77777777" w:rsidR="007E0510" w:rsidRDefault="00671F23" w:rsidP="00671F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1077" wp14:editId="65E2A5A8">
                <wp:simplePos x="0" y="0"/>
                <wp:positionH relativeFrom="column">
                  <wp:posOffset>2638425</wp:posOffset>
                </wp:positionH>
                <wp:positionV relativeFrom="paragraph">
                  <wp:posOffset>172720</wp:posOffset>
                </wp:positionV>
                <wp:extent cx="484505" cy="558800"/>
                <wp:effectExtent l="19050" t="0" r="29845" b="3175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58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E69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07.75pt;margin-top:13.6pt;width:38.15pt;height: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" adj="12236" fillcolor="#4f81bd [3204]" strokecolor="#243f60 [1604]" strokeweight="2pt"/>
            </w:pict>
          </mc:Fallback>
        </mc:AlternateContent>
      </w:r>
    </w:p>
    <w:p w14:paraId="18DDE1ED" w14:textId="77777777" w:rsidR="00671F23" w:rsidRDefault="00671F23" w:rsidP="00671F23">
      <w:pPr>
        <w:jc w:val="center"/>
      </w:pPr>
    </w:p>
    <w:p w14:paraId="1330F015" w14:textId="77777777" w:rsidR="00671F23" w:rsidRDefault="00671F23" w:rsidP="00671F23"/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6379"/>
      </w:tblGrid>
      <w:tr w:rsidR="0078072C" w14:paraId="3B8845F9" w14:textId="77777777" w:rsidTr="00C00E58">
        <w:tc>
          <w:tcPr>
            <w:tcW w:w="6379" w:type="dxa"/>
            <w:shd w:val="clear" w:color="auto" w:fill="95B3D7" w:themeFill="accent1" w:themeFillTint="99"/>
          </w:tcPr>
          <w:p w14:paraId="57771056" w14:textId="77777777" w:rsidR="0078072C" w:rsidRDefault="0078072C" w:rsidP="0078072C">
            <w:pPr>
              <w:jc w:val="center"/>
            </w:pPr>
          </w:p>
          <w:p w14:paraId="0DBA8601" w14:textId="77777777" w:rsidR="0078072C" w:rsidRDefault="0078072C" w:rsidP="0078072C">
            <w:pPr>
              <w:jc w:val="center"/>
              <w:rPr>
                <w:b/>
                <w:sz w:val="32"/>
                <w:szCs w:val="32"/>
              </w:rPr>
            </w:pPr>
            <w:r w:rsidRPr="0078072C">
              <w:rPr>
                <w:b/>
                <w:sz w:val="32"/>
                <w:szCs w:val="32"/>
              </w:rPr>
              <w:t>Assessment</w:t>
            </w:r>
          </w:p>
          <w:p w14:paraId="47B38C8F" w14:textId="77777777" w:rsidR="0078072C" w:rsidRPr="00484A75" w:rsidRDefault="002B3F87" w:rsidP="002B3F87">
            <w:pPr>
              <w:jc w:val="center"/>
              <w:rPr>
                <w:sz w:val="24"/>
                <w:szCs w:val="24"/>
                <w:u w:val="single"/>
              </w:rPr>
            </w:pPr>
            <w:r w:rsidRPr="00484A75">
              <w:rPr>
                <w:sz w:val="24"/>
                <w:szCs w:val="24"/>
                <w:u w:val="single"/>
              </w:rPr>
              <w:t>Identify those not on track</w:t>
            </w:r>
            <w:r w:rsidR="00A95219">
              <w:rPr>
                <w:sz w:val="24"/>
                <w:szCs w:val="24"/>
                <w:u w:val="single"/>
              </w:rPr>
              <w:t xml:space="preserve"> to achieve ARE</w:t>
            </w:r>
          </w:p>
          <w:p w14:paraId="4E242CA1" w14:textId="77777777" w:rsidR="00A95219" w:rsidRDefault="00A95219" w:rsidP="0048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Drive adjustments to the T&amp;L programme </w:t>
            </w:r>
          </w:p>
          <w:p w14:paraId="5CD0FECB" w14:textId="77777777" w:rsidR="00A95219" w:rsidRDefault="00A95219" w:rsidP="00A95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to target support and intervention</w:t>
            </w:r>
          </w:p>
          <w:p w14:paraId="58CB9793" w14:textId="77777777" w:rsidR="00A95219" w:rsidRDefault="00A95219" w:rsidP="00A95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a picture of individual progress and attainment</w:t>
            </w:r>
          </w:p>
          <w:p w14:paraId="1582B67A" w14:textId="77777777" w:rsidR="00A95219" w:rsidRDefault="00A95219" w:rsidP="00A95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SIP, SSE and monitoring</w:t>
            </w:r>
          </w:p>
          <w:p w14:paraId="529F1227" w14:textId="77777777" w:rsidR="002B3F87" w:rsidRDefault="002B3F87" w:rsidP="00A95219">
            <w:pPr>
              <w:jc w:val="center"/>
            </w:pPr>
          </w:p>
        </w:tc>
      </w:tr>
      <w:tr w:rsidR="0078072C" w14:paraId="251C1A9C" w14:textId="77777777" w:rsidTr="00C00E58">
        <w:tc>
          <w:tcPr>
            <w:tcW w:w="6379" w:type="dxa"/>
            <w:shd w:val="clear" w:color="auto" w:fill="B8CCE4" w:themeFill="accent1" w:themeFillTint="66"/>
          </w:tcPr>
          <w:p w14:paraId="75F13932" w14:textId="77777777" w:rsidR="0078072C" w:rsidRDefault="00671F23" w:rsidP="0078072C">
            <w:pPr>
              <w:jc w:val="center"/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FA049C" wp14:editId="0C8FA1B4">
                      <wp:simplePos x="0" y="0"/>
                      <wp:positionH relativeFrom="column">
                        <wp:posOffset>-978535</wp:posOffset>
                      </wp:positionH>
                      <wp:positionV relativeFrom="paragraph">
                        <wp:posOffset>53340</wp:posOffset>
                      </wp:positionV>
                      <wp:extent cx="484505" cy="977900"/>
                      <wp:effectExtent l="19050" t="19050" r="29845" b="12700"/>
                      <wp:wrapNone/>
                      <wp:docPr id="4" name="Up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9779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6FD39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4" o:spid="_x0000_s1026" type="#_x0000_t68" style="position:absolute;margin-left:-77.05pt;margin-top:4.2pt;width:38.15pt;height:7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" adj="5351" fillcolor="#4f81bd [3204]" strokecolor="#243f60 [1604]" strokeweight="2pt"/>
                  </w:pict>
                </mc:Fallback>
              </mc:AlternateContent>
            </w:r>
          </w:p>
          <w:p w14:paraId="422C27E7" w14:textId="77777777" w:rsidR="002B3F87" w:rsidRDefault="0078072C" w:rsidP="0078072C">
            <w:pPr>
              <w:jc w:val="center"/>
              <w:rPr>
                <w:b/>
                <w:sz w:val="32"/>
                <w:szCs w:val="32"/>
              </w:rPr>
            </w:pPr>
            <w:r w:rsidRPr="0078072C">
              <w:rPr>
                <w:b/>
                <w:sz w:val="32"/>
                <w:szCs w:val="32"/>
              </w:rPr>
              <w:t>Teaching &amp; Learning</w:t>
            </w:r>
          </w:p>
          <w:p w14:paraId="3303A2C2" w14:textId="77777777" w:rsidR="007E0510" w:rsidRPr="00484A75" w:rsidRDefault="002B3F87" w:rsidP="0078072C">
            <w:pPr>
              <w:jc w:val="center"/>
              <w:rPr>
                <w:sz w:val="24"/>
                <w:szCs w:val="24"/>
                <w:u w:val="single"/>
              </w:rPr>
            </w:pPr>
            <w:r w:rsidRPr="00484A75">
              <w:rPr>
                <w:sz w:val="24"/>
                <w:szCs w:val="24"/>
                <w:u w:val="single"/>
              </w:rPr>
              <w:t xml:space="preserve">Quality First Teaching </w:t>
            </w:r>
          </w:p>
          <w:p w14:paraId="2D87BE26" w14:textId="77777777" w:rsidR="00313B2A" w:rsidRDefault="00313B2A" w:rsidP="0031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 previous years content </w:t>
            </w:r>
          </w:p>
          <w:p w14:paraId="4B969132" w14:textId="77777777" w:rsidR="00313B2A" w:rsidRDefault="00313B2A" w:rsidP="0031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Prioritise the teaching of phonics and reading</w:t>
            </w:r>
          </w:p>
          <w:p w14:paraId="6A4CF963" w14:textId="77777777" w:rsidR="00313B2A" w:rsidRDefault="00313B2A" w:rsidP="0031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Increase time spent on the core subjects  </w:t>
            </w:r>
            <w:r w:rsidR="00262708" w:rsidRPr="007E0510">
              <w:rPr>
                <w:sz w:val="24"/>
                <w:szCs w:val="24"/>
              </w:rPr>
              <w:t xml:space="preserve"> </w:t>
            </w:r>
          </w:p>
          <w:p w14:paraId="26083D15" w14:textId="77777777" w:rsidR="0078072C" w:rsidRPr="007E0510" w:rsidRDefault="0078072C" w:rsidP="00A95219">
            <w:pPr>
              <w:jc w:val="center"/>
              <w:rPr>
                <w:sz w:val="24"/>
                <w:szCs w:val="24"/>
              </w:rPr>
            </w:pPr>
          </w:p>
        </w:tc>
      </w:tr>
      <w:tr w:rsidR="0078072C" w14:paraId="0734A37C" w14:textId="77777777" w:rsidTr="00C00E58">
        <w:tc>
          <w:tcPr>
            <w:tcW w:w="6379" w:type="dxa"/>
            <w:shd w:val="clear" w:color="auto" w:fill="DBE5F1" w:themeFill="accent1" w:themeFillTint="33"/>
          </w:tcPr>
          <w:p w14:paraId="42358D31" w14:textId="77777777" w:rsidR="0078072C" w:rsidRDefault="0078072C" w:rsidP="0078072C">
            <w:pPr>
              <w:jc w:val="center"/>
            </w:pPr>
          </w:p>
          <w:p w14:paraId="1B766553" w14:textId="77777777" w:rsidR="0078072C" w:rsidRDefault="0078072C" w:rsidP="0078072C">
            <w:pPr>
              <w:jc w:val="center"/>
              <w:rPr>
                <w:b/>
                <w:sz w:val="32"/>
                <w:szCs w:val="32"/>
              </w:rPr>
            </w:pPr>
            <w:r w:rsidRPr="00262708">
              <w:rPr>
                <w:b/>
                <w:sz w:val="32"/>
                <w:szCs w:val="32"/>
              </w:rPr>
              <w:t>Curriculum</w:t>
            </w:r>
          </w:p>
          <w:p w14:paraId="2819D06F" w14:textId="77777777" w:rsidR="002B3F87" w:rsidRPr="00484A75" w:rsidRDefault="007E0510" w:rsidP="00313B2A">
            <w:pPr>
              <w:jc w:val="center"/>
              <w:rPr>
                <w:sz w:val="24"/>
                <w:szCs w:val="24"/>
                <w:u w:val="single"/>
              </w:rPr>
            </w:pPr>
            <w:r w:rsidRPr="00484A75">
              <w:rPr>
                <w:sz w:val="24"/>
                <w:szCs w:val="24"/>
                <w:u w:val="single"/>
              </w:rPr>
              <w:t>Broad and balanced</w:t>
            </w:r>
            <w:r w:rsidR="00313B2A" w:rsidRPr="00484A75">
              <w:rPr>
                <w:sz w:val="24"/>
                <w:szCs w:val="24"/>
                <w:u w:val="single"/>
              </w:rPr>
              <w:t xml:space="preserve"> </w:t>
            </w:r>
          </w:p>
          <w:p w14:paraId="015DFD68" w14:textId="77777777" w:rsidR="00313B2A" w:rsidRDefault="00671F23" w:rsidP="0031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3B2A">
              <w:rPr>
                <w:sz w:val="24"/>
                <w:szCs w:val="24"/>
              </w:rPr>
              <w:t xml:space="preserve">ontent </w:t>
            </w:r>
            <w:r w:rsidR="002B3F87">
              <w:rPr>
                <w:sz w:val="24"/>
                <w:szCs w:val="24"/>
              </w:rPr>
              <w:t>may need to be reordered or</w:t>
            </w:r>
            <w:r w:rsidR="00313B2A">
              <w:rPr>
                <w:sz w:val="24"/>
                <w:szCs w:val="24"/>
              </w:rPr>
              <w:t xml:space="preserve"> cut out completely </w:t>
            </w:r>
          </w:p>
          <w:p w14:paraId="0DCF3269" w14:textId="77777777" w:rsidR="007E0510" w:rsidRDefault="007E0510" w:rsidP="0031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Delivered through the </w:t>
            </w:r>
            <w:r w:rsidR="00484A75">
              <w:rPr>
                <w:sz w:val="24"/>
                <w:szCs w:val="24"/>
              </w:rPr>
              <w:t xml:space="preserve">four Stoke Hill characteristics </w:t>
            </w:r>
          </w:p>
          <w:p w14:paraId="60CD9F64" w14:textId="77777777" w:rsidR="007E0510" w:rsidRDefault="007E0510" w:rsidP="007E0510">
            <w:pPr>
              <w:jc w:val="center"/>
              <w:rPr>
                <w:sz w:val="24"/>
                <w:szCs w:val="24"/>
              </w:rPr>
            </w:pPr>
          </w:p>
          <w:p w14:paraId="4B689BFA" w14:textId="77777777" w:rsidR="0078072C" w:rsidRDefault="0078072C" w:rsidP="00262708"/>
        </w:tc>
      </w:tr>
    </w:tbl>
    <w:p w14:paraId="09708179" w14:textId="77777777" w:rsidR="0078072C" w:rsidRDefault="0078072C" w:rsidP="0078072C">
      <w:pPr>
        <w:jc w:val="center"/>
      </w:pPr>
    </w:p>
    <w:p w14:paraId="3C23C5FD" w14:textId="77777777" w:rsidR="00671F23" w:rsidRDefault="00671F23" w:rsidP="0078072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B1F5F" wp14:editId="602F8D6D">
                <wp:simplePos x="0" y="0"/>
                <wp:positionH relativeFrom="column">
                  <wp:posOffset>2517775</wp:posOffset>
                </wp:positionH>
                <wp:positionV relativeFrom="paragraph">
                  <wp:posOffset>153035</wp:posOffset>
                </wp:positionV>
                <wp:extent cx="978408" cy="484632"/>
                <wp:effectExtent l="0" t="0" r="12700" b="1079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48A9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198.25pt;margin-top:12.05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" adj="5350" fillcolor="#4f81bd [3204]" strokecolor="#243f60 [1604]" strokeweight="2pt"/>
            </w:pict>
          </mc:Fallback>
        </mc:AlternateContent>
      </w:r>
      <w:r w:rsidR="00346ACA">
        <w:t xml:space="preserve">                                                                               </w:t>
      </w:r>
    </w:p>
    <w:p w14:paraId="436F5C3E" w14:textId="77777777" w:rsidR="00346ACA" w:rsidRDefault="00346ACA" w:rsidP="0078072C">
      <w:pPr>
        <w:jc w:val="center"/>
      </w:pPr>
    </w:p>
    <w:p w14:paraId="22328E7E" w14:textId="77777777" w:rsidR="00346ACA" w:rsidRDefault="00346ACA" w:rsidP="0078072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6ACA" w14:paraId="0825E05A" w14:textId="77777777" w:rsidTr="00E3280E">
        <w:tc>
          <w:tcPr>
            <w:tcW w:w="9242" w:type="dxa"/>
            <w:shd w:val="clear" w:color="auto" w:fill="4F81BD" w:themeFill="accent1"/>
          </w:tcPr>
          <w:p w14:paraId="089134B2" w14:textId="77777777" w:rsidR="00346ACA" w:rsidRPr="00297409" w:rsidRDefault="00346ACA" w:rsidP="0078072C">
            <w:pPr>
              <w:jc w:val="center"/>
              <w:rPr>
                <w:b/>
                <w:sz w:val="20"/>
                <w:szCs w:val="20"/>
              </w:rPr>
            </w:pPr>
            <w:r w:rsidRPr="00297409">
              <w:rPr>
                <w:b/>
                <w:sz w:val="32"/>
                <w:szCs w:val="32"/>
              </w:rPr>
              <w:lastRenderedPageBreak/>
              <w:t>Wellbeing</w:t>
            </w:r>
          </w:p>
          <w:p w14:paraId="459F37A0" w14:textId="77777777" w:rsidR="00E33C96" w:rsidRDefault="00CC26A3" w:rsidP="00E33C96">
            <w:pPr>
              <w:pStyle w:val="ListParagraph"/>
              <w:numPr>
                <w:ilvl w:val="0"/>
                <w:numId w:val="5"/>
              </w:numPr>
            </w:pPr>
            <w:r>
              <w:rPr>
                <w:sz w:val="20"/>
                <w:szCs w:val="20"/>
              </w:rPr>
              <w:t xml:space="preserve">See previous notes for weeks 1 &amp; 2 </w:t>
            </w:r>
          </w:p>
        </w:tc>
      </w:tr>
      <w:tr w:rsidR="00346ACA" w14:paraId="67BA464C" w14:textId="77777777" w:rsidTr="00E3280E">
        <w:tc>
          <w:tcPr>
            <w:tcW w:w="9242" w:type="dxa"/>
            <w:shd w:val="clear" w:color="auto" w:fill="95B3D7" w:themeFill="accent1" w:themeFillTint="99"/>
          </w:tcPr>
          <w:p w14:paraId="301C8D66" w14:textId="77777777" w:rsidR="00346ACA" w:rsidRPr="00E33C96" w:rsidRDefault="00346ACA" w:rsidP="0078072C">
            <w:pPr>
              <w:jc w:val="center"/>
              <w:rPr>
                <w:b/>
                <w:sz w:val="32"/>
                <w:szCs w:val="32"/>
              </w:rPr>
            </w:pPr>
            <w:r w:rsidRPr="00E33C96">
              <w:rPr>
                <w:b/>
                <w:sz w:val="32"/>
                <w:szCs w:val="32"/>
              </w:rPr>
              <w:t>Assessment</w:t>
            </w:r>
          </w:p>
          <w:p w14:paraId="52695E71" w14:textId="77777777" w:rsidR="00D0778A" w:rsidRPr="00297409" w:rsidRDefault="00E33C96" w:rsidP="00D077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 xml:space="preserve">Review your class data grid </w:t>
            </w:r>
            <w:r w:rsidR="009772F7" w:rsidRPr="00297409">
              <w:rPr>
                <w:sz w:val="20"/>
                <w:szCs w:val="20"/>
              </w:rPr>
              <w:t>from the spring term</w:t>
            </w:r>
            <w:r w:rsidR="00273DED" w:rsidRPr="00297409">
              <w:rPr>
                <w:sz w:val="20"/>
                <w:szCs w:val="20"/>
              </w:rPr>
              <w:t xml:space="preserve"> </w:t>
            </w:r>
            <w:r w:rsidRPr="00297409">
              <w:rPr>
                <w:sz w:val="20"/>
                <w:szCs w:val="20"/>
              </w:rPr>
              <w:t>and i</w:t>
            </w:r>
            <w:r w:rsidR="00346ACA" w:rsidRPr="00297409">
              <w:rPr>
                <w:sz w:val="20"/>
                <w:szCs w:val="20"/>
              </w:rPr>
              <w:t>dentify children Not on Track (</w:t>
            </w:r>
            <w:proofErr w:type="spellStart"/>
            <w:r w:rsidR="00346ACA" w:rsidRPr="00297409">
              <w:rPr>
                <w:sz w:val="20"/>
                <w:szCs w:val="20"/>
              </w:rPr>
              <w:t>NoT</w:t>
            </w:r>
            <w:proofErr w:type="spellEnd"/>
            <w:r w:rsidR="00346ACA" w:rsidRPr="00297409">
              <w:rPr>
                <w:sz w:val="20"/>
                <w:szCs w:val="20"/>
              </w:rPr>
              <w:t>) in phonics, reading, writing and</w:t>
            </w:r>
            <w:r w:rsidR="00273DED" w:rsidRPr="00297409">
              <w:rPr>
                <w:sz w:val="20"/>
                <w:szCs w:val="20"/>
              </w:rPr>
              <w:t xml:space="preserve"> maths</w:t>
            </w:r>
            <w:r w:rsidR="00346ACA" w:rsidRPr="00297409">
              <w:rPr>
                <w:sz w:val="20"/>
                <w:szCs w:val="20"/>
              </w:rPr>
              <w:t xml:space="preserve">. </w:t>
            </w:r>
            <w:r w:rsidRPr="00297409">
              <w:rPr>
                <w:sz w:val="20"/>
                <w:szCs w:val="20"/>
              </w:rPr>
              <w:t>Identify</w:t>
            </w:r>
            <w:r w:rsidR="00273DED" w:rsidRPr="00297409">
              <w:rPr>
                <w:sz w:val="20"/>
                <w:szCs w:val="20"/>
              </w:rPr>
              <w:t xml:space="preserve"> in particular;</w:t>
            </w:r>
            <w:r w:rsidRPr="00297409">
              <w:rPr>
                <w:sz w:val="20"/>
                <w:szCs w:val="20"/>
              </w:rPr>
              <w:t xml:space="preserve"> SEND, PP and disadvantaged children</w:t>
            </w:r>
            <w:r w:rsidR="00273DED" w:rsidRPr="00297409">
              <w:rPr>
                <w:sz w:val="20"/>
                <w:szCs w:val="20"/>
              </w:rPr>
              <w:t>.</w:t>
            </w:r>
          </w:p>
          <w:p w14:paraId="2F58ED78" w14:textId="77777777" w:rsidR="00D0778A" w:rsidRPr="00297409" w:rsidRDefault="00D0778A" w:rsidP="00D0778A">
            <w:pPr>
              <w:pStyle w:val="ListParagraph"/>
              <w:rPr>
                <w:sz w:val="20"/>
                <w:szCs w:val="20"/>
                <w:u w:val="single"/>
              </w:rPr>
            </w:pPr>
            <w:r w:rsidRPr="00297409">
              <w:rPr>
                <w:sz w:val="20"/>
                <w:szCs w:val="20"/>
                <w:u w:val="single"/>
              </w:rPr>
              <w:t xml:space="preserve">Intervention screening: </w:t>
            </w:r>
          </w:p>
          <w:p w14:paraId="019AD4F6" w14:textId="77777777" w:rsidR="00D0778A" w:rsidRPr="00297409" w:rsidRDefault="00D0778A" w:rsidP="00D0778A">
            <w:pPr>
              <w:pStyle w:val="ListParagraph"/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Phase 1: All c</w:t>
            </w:r>
            <w:r w:rsidR="00A252C7" w:rsidRPr="00297409">
              <w:rPr>
                <w:sz w:val="20"/>
                <w:szCs w:val="20"/>
              </w:rPr>
              <w:t xml:space="preserve">hildren </w:t>
            </w:r>
            <w:proofErr w:type="spellStart"/>
            <w:r w:rsidR="00A252C7" w:rsidRPr="00297409">
              <w:rPr>
                <w:sz w:val="20"/>
                <w:szCs w:val="20"/>
              </w:rPr>
              <w:t>NoT</w:t>
            </w:r>
            <w:proofErr w:type="spellEnd"/>
            <w:r w:rsidR="00A252C7" w:rsidRPr="00297409">
              <w:rPr>
                <w:sz w:val="20"/>
                <w:szCs w:val="20"/>
              </w:rPr>
              <w:t xml:space="preserve"> at the end of the spring term</w:t>
            </w:r>
          </w:p>
          <w:p w14:paraId="2BE895F8" w14:textId="77777777" w:rsidR="00D0778A" w:rsidRPr="00297409" w:rsidRDefault="00D0778A" w:rsidP="00D0778A">
            <w:pPr>
              <w:pStyle w:val="ListParagraph"/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Phase 2: Children that were on track but have significant gaps</w:t>
            </w:r>
            <w:r w:rsidR="00A252C7" w:rsidRPr="00297409">
              <w:rPr>
                <w:sz w:val="20"/>
                <w:szCs w:val="20"/>
              </w:rPr>
              <w:t xml:space="preserve"> </w:t>
            </w:r>
          </w:p>
          <w:p w14:paraId="14CE1234" w14:textId="77777777" w:rsidR="001C25CF" w:rsidRPr="00297409" w:rsidRDefault="001C25CF" w:rsidP="00D0778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 xml:space="preserve">Be clear about what should </w:t>
            </w:r>
            <w:r w:rsidR="00E3280E" w:rsidRPr="00297409">
              <w:rPr>
                <w:sz w:val="20"/>
                <w:szCs w:val="20"/>
              </w:rPr>
              <w:t>have been learnt</w:t>
            </w:r>
            <w:r w:rsidRPr="00297409">
              <w:rPr>
                <w:sz w:val="20"/>
                <w:szCs w:val="20"/>
              </w:rPr>
              <w:t xml:space="preserve"> by the </w:t>
            </w:r>
            <w:r w:rsidR="00E3280E" w:rsidRPr="00297409">
              <w:rPr>
                <w:sz w:val="20"/>
                <w:szCs w:val="20"/>
              </w:rPr>
              <w:t xml:space="preserve">children by the </w:t>
            </w:r>
            <w:r w:rsidRPr="00297409">
              <w:rPr>
                <w:sz w:val="20"/>
                <w:szCs w:val="20"/>
              </w:rPr>
              <w:t xml:space="preserve">end of the spring </w:t>
            </w:r>
            <w:r w:rsidR="00E33C96" w:rsidRPr="00297409">
              <w:rPr>
                <w:sz w:val="20"/>
                <w:szCs w:val="20"/>
              </w:rPr>
              <w:t xml:space="preserve">and summer </w:t>
            </w:r>
            <w:r w:rsidRPr="00297409">
              <w:rPr>
                <w:sz w:val="20"/>
                <w:szCs w:val="20"/>
              </w:rPr>
              <w:t>term</w:t>
            </w:r>
            <w:r w:rsidR="00E33C96" w:rsidRPr="00297409">
              <w:rPr>
                <w:sz w:val="20"/>
                <w:szCs w:val="20"/>
              </w:rPr>
              <w:t>s</w:t>
            </w:r>
            <w:r w:rsidR="00E3280E" w:rsidRPr="00297409">
              <w:rPr>
                <w:sz w:val="20"/>
                <w:szCs w:val="20"/>
              </w:rPr>
              <w:t xml:space="preserve"> 2020</w:t>
            </w:r>
            <w:r w:rsidRPr="00297409">
              <w:rPr>
                <w:sz w:val="20"/>
                <w:szCs w:val="20"/>
              </w:rPr>
              <w:t xml:space="preserve"> in phonics, reading, writing and maths? What should th</w:t>
            </w:r>
            <w:r w:rsidR="00E33C96" w:rsidRPr="00297409">
              <w:rPr>
                <w:sz w:val="20"/>
                <w:szCs w:val="20"/>
              </w:rPr>
              <w:t xml:space="preserve">ey know by </w:t>
            </w:r>
            <w:r w:rsidR="00E3280E" w:rsidRPr="00297409">
              <w:rPr>
                <w:sz w:val="20"/>
                <w:szCs w:val="20"/>
              </w:rPr>
              <w:t>the end of this</w:t>
            </w:r>
            <w:r w:rsidRPr="00297409">
              <w:rPr>
                <w:sz w:val="20"/>
                <w:szCs w:val="20"/>
              </w:rPr>
              <w:t xml:space="preserve"> term?</w:t>
            </w:r>
          </w:p>
          <w:p w14:paraId="409D2254" w14:textId="77777777" w:rsidR="00273DED" w:rsidRPr="00297409" w:rsidRDefault="00273DED" w:rsidP="001C25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 xml:space="preserve">Intervention </w:t>
            </w:r>
            <w:r w:rsidR="00A252C7" w:rsidRPr="00297409">
              <w:rPr>
                <w:sz w:val="20"/>
                <w:szCs w:val="20"/>
              </w:rPr>
              <w:t>will take these forms:</w:t>
            </w:r>
          </w:p>
          <w:p w14:paraId="673AD302" w14:textId="77777777" w:rsidR="00273DED" w:rsidRPr="00297409" w:rsidRDefault="00E00E0B" w:rsidP="009C6B6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small group</w:t>
            </w:r>
            <w:r w:rsidR="009C6B65" w:rsidRPr="00297409">
              <w:rPr>
                <w:sz w:val="20"/>
                <w:szCs w:val="20"/>
              </w:rPr>
              <w:t>,</w:t>
            </w:r>
            <w:r w:rsidRPr="00297409">
              <w:rPr>
                <w:sz w:val="20"/>
                <w:szCs w:val="20"/>
              </w:rPr>
              <w:t xml:space="preserve"> </w:t>
            </w:r>
            <w:r w:rsidR="00273DED" w:rsidRPr="00297409">
              <w:rPr>
                <w:sz w:val="20"/>
                <w:szCs w:val="20"/>
              </w:rPr>
              <w:t xml:space="preserve">pre-teaching </w:t>
            </w:r>
            <w:r w:rsidRPr="00297409">
              <w:rPr>
                <w:sz w:val="20"/>
                <w:szCs w:val="20"/>
              </w:rPr>
              <w:t>by the class teacher, with a focus on vocabulary</w:t>
            </w:r>
          </w:p>
          <w:p w14:paraId="56BDD7D4" w14:textId="77777777" w:rsidR="00273DED" w:rsidRPr="00297409" w:rsidRDefault="00E00E0B" w:rsidP="009C6B6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small group</w:t>
            </w:r>
            <w:r w:rsidR="009C6B65" w:rsidRPr="00297409">
              <w:rPr>
                <w:sz w:val="20"/>
                <w:szCs w:val="20"/>
              </w:rPr>
              <w:t>,</w:t>
            </w:r>
            <w:r w:rsidRPr="00297409">
              <w:rPr>
                <w:sz w:val="20"/>
                <w:szCs w:val="20"/>
              </w:rPr>
              <w:t xml:space="preserve"> r</w:t>
            </w:r>
            <w:r w:rsidR="0001171A" w:rsidRPr="00297409">
              <w:rPr>
                <w:sz w:val="20"/>
                <w:szCs w:val="20"/>
              </w:rPr>
              <w:t>emediation</w:t>
            </w:r>
            <w:r w:rsidRPr="00297409">
              <w:rPr>
                <w:sz w:val="20"/>
                <w:szCs w:val="20"/>
              </w:rPr>
              <w:t xml:space="preserve"> by a TA</w:t>
            </w:r>
            <w:r w:rsidR="009C6B65" w:rsidRPr="00297409">
              <w:rPr>
                <w:sz w:val="20"/>
                <w:szCs w:val="20"/>
              </w:rPr>
              <w:t xml:space="preserve"> (through current and additional TA provision)</w:t>
            </w:r>
          </w:p>
          <w:p w14:paraId="4C0DD3A1" w14:textId="77777777" w:rsidR="00A252C7" w:rsidRPr="00297409" w:rsidRDefault="009C6B65" w:rsidP="00A252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small group,</w:t>
            </w:r>
            <w:r w:rsidR="00A252C7" w:rsidRPr="00297409">
              <w:rPr>
                <w:sz w:val="20"/>
                <w:szCs w:val="20"/>
              </w:rPr>
              <w:t xml:space="preserve"> high needs </w:t>
            </w:r>
            <w:r w:rsidRPr="00297409">
              <w:rPr>
                <w:sz w:val="20"/>
                <w:szCs w:val="20"/>
              </w:rPr>
              <w:t>SEND</w:t>
            </w:r>
            <w:r w:rsidR="00A252C7" w:rsidRPr="00297409">
              <w:rPr>
                <w:sz w:val="20"/>
                <w:szCs w:val="20"/>
              </w:rPr>
              <w:t xml:space="preserve"> (Moonlight) individual, </w:t>
            </w:r>
          </w:p>
          <w:p w14:paraId="497CABBE" w14:textId="77777777" w:rsidR="00A252C7" w:rsidRPr="00297409" w:rsidRDefault="00A252C7" w:rsidP="00A252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1:1 targeted support in class by the TA/teacher</w:t>
            </w:r>
          </w:p>
          <w:p w14:paraId="4ED57336" w14:textId="77777777" w:rsidR="00346ACA" w:rsidRPr="00297409" w:rsidRDefault="00A252C7" w:rsidP="00A252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 xml:space="preserve">1:1 programmes/tutoring </w:t>
            </w:r>
          </w:p>
          <w:p w14:paraId="6DB1BAA0" w14:textId="77777777" w:rsidR="00A252C7" w:rsidRPr="00297409" w:rsidRDefault="00A252C7" w:rsidP="00A252C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 xml:space="preserve">Intervention in English and maths </w:t>
            </w:r>
            <w:r w:rsidR="00D0778A" w:rsidRPr="00297409">
              <w:rPr>
                <w:sz w:val="20"/>
                <w:szCs w:val="20"/>
              </w:rPr>
              <w:t>will</w:t>
            </w:r>
            <w:r w:rsidRPr="00297409">
              <w:rPr>
                <w:sz w:val="20"/>
                <w:szCs w:val="20"/>
              </w:rPr>
              <w:t xml:space="preserve"> be led by subject leaders and in the main delivered by HLTA/TA</w:t>
            </w:r>
            <w:r w:rsidR="00D0778A" w:rsidRPr="00297409">
              <w:rPr>
                <w:sz w:val="20"/>
                <w:szCs w:val="20"/>
              </w:rPr>
              <w:t>s.</w:t>
            </w:r>
            <w:r w:rsidRPr="00297409">
              <w:rPr>
                <w:sz w:val="20"/>
                <w:szCs w:val="20"/>
              </w:rPr>
              <w:t xml:space="preserve"> TAs mus</w:t>
            </w:r>
            <w:r w:rsidR="00D0778A" w:rsidRPr="00297409">
              <w:rPr>
                <w:sz w:val="20"/>
                <w:szCs w:val="20"/>
              </w:rPr>
              <w:t>t have been previously</w:t>
            </w:r>
            <w:r w:rsidRPr="00297409">
              <w:rPr>
                <w:sz w:val="20"/>
                <w:szCs w:val="20"/>
              </w:rPr>
              <w:t xml:space="preserve"> trained to deliver intervention programmes or training will be given. </w:t>
            </w:r>
          </w:p>
          <w:p w14:paraId="56518E6D" w14:textId="77777777" w:rsidR="00D0778A" w:rsidRPr="00297409" w:rsidRDefault="009772F7" w:rsidP="00A252C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The focus for i</w:t>
            </w:r>
            <w:r w:rsidR="00D0778A" w:rsidRPr="00297409">
              <w:rPr>
                <w:sz w:val="20"/>
                <w:szCs w:val="20"/>
              </w:rPr>
              <w:t xml:space="preserve">ntervention </w:t>
            </w:r>
            <w:r w:rsidRPr="00297409">
              <w:rPr>
                <w:sz w:val="20"/>
                <w:szCs w:val="20"/>
              </w:rPr>
              <w:t>will be phased:</w:t>
            </w:r>
          </w:p>
          <w:p w14:paraId="11D1C0A5" w14:textId="77777777" w:rsidR="00D0778A" w:rsidRPr="00297409" w:rsidRDefault="00D0778A" w:rsidP="00D0778A">
            <w:pPr>
              <w:pStyle w:val="ListParagraph"/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Phase 1: phonics and reading</w:t>
            </w:r>
          </w:p>
          <w:p w14:paraId="36D833A3" w14:textId="77777777" w:rsidR="009772F7" w:rsidRPr="00297409" w:rsidRDefault="00D0778A" w:rsidP="009772F7">
            <w:pPr>
              <w:pStyle w:val="ListParagraph"/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Phase 2: writing and maths</w:t>
            </w:r>
            <w:r w:rsidR="009772F7" w:rsidRPr="00297409">
              <w:rPr>
                <w:sz w:val="20"/>
                <w:szCs w:val="20"/>
              </w:rPr>
              <w:t xml:space="preserve"> </w:t>
            </w:r>
          </w:p>
          <w:p w14:paraId="1F41C8D0" w14:textId="77777777" w:rsidR="009772F7" w:rsidRPr="00297409" w:rsidRDefault="009772F7" w:rsidP="009772F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 xml:space="preserve">Feedback remains the most effective tool in the EEF Toolkit with +8 months effect. </w:t>
            </w:r>
            <w:r w:rsidRPr="00297409">
              <w:rPr>
                <w:color w:val="0070C0"/>
                <w:sz w:val="20"/>
                <w:szCs w:val="20"/>
              </w:rPr>
              <w:t>https://educationendowmentfoundation.org.uk/evidence-summaries/teaching-learning-toolkit</w:t>
            </w:r>
            <w:r w:rsidRPr="00297409">
              <w:rPr>
                <w:sz w:val="20"/>
                <w:szCs w:val="20"/>
              </w:rPr>
              <w:t>/</w:t>
            </w:r>
          </w:p>
          <w:p w14:paraId="39C189D0" w14:textId="77777777" w:rsidR="009772F7" w:rsidRPr="00F009BC" w:rsidRDefault="009772F7" w:rsidP="009772F7">
            <w:pPr>
              <w:pStyle w:val="ListParagraph"/>
              <w:rPr>
                <w:sz w:val="20"/>
                <w:szCs w:val="20"/>
              </w:rPr>
            </w:pPr>
            <w:r w:rsidRPr="00F009BC">
              <w:rPr>
                <w:sz w:val="20"/>
                <w:szCs w:val="20"/>
              </w:rPr>
              <w:t>Written feedbac</w:t>
            </w:r>
            <w:r w:rsidR="00F009BC">
              <w:rPr>
                <w:sz w:val="20"/>
                <w:szCs w:val="20"/>
              </w:rPr>
              <w:t>k: stamp and marking code</w:t>
            </w:r>
          </w:p>
          <w:p w14:paraId="50D0B785" w14:textId="77777777" w:rsidR="00A252C7" w:rsidRPr="00297409" w:rsidRDefault="009C6B65" w:rsidP="00A252C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 xml:space="preserve">SHINS assessment systems to track progress and measure attainment in reading, English, maths and science remain in place e.g. Reading Ladder, </w:t>
            </w:r>
            <w:r w:rsidR="00D0778A" w:rsidRPr="00297409">
              <w:rPr>
                <w:sz w:val="20"/>
                <w:szCs w:val="20"/>
              </w:rPr>
              <w:t xml:space="preserve">Y1 Evidence Gathering Grids and the Y2 </w:t>
            </w:r>
            <w:r w:rsidR="009772F7" w:rsidRPr="00297409">
              <w:rPr>
                <w:sz w:val="20"/>
                <w:szCs w:val="20"/>
              </w:rPr>
              <w:t xml:space="preserve">Evidence Gathering </w:t>
            </w:r>
            <w:r w:rsidR="00D0778A" w:rsidRPr="00297409">
              <w:rPr>
                <w:sz w:val="20"/>
                <w:szCs w:val="20"/>
              </w:rPr>
              <w:t xml:space="preserve">Standards Grids. </w:t>
            </w:r>
            <w:r w:rsidRPr="00297409">
              <w:rPr>
                <w:sz w:val="20"/>
                <w:szCs w:val="20"/>
              </w:rPr>
              <w:t xml:space="preserve">For phonics new assessment </w:t>
            </w:r>
            <w:r w:rsidR="00D0778A" w:rsidRPr="00297409">
              <w:rPr>
                <w:sz w:val="20"/>
                <w:szCs w:val="20"/>
              </w:rPr>
              <w:t>systems introduced</w:t>
            </w:r>
            <w:r w:rsidRPr="00297409">
              <w:rPr>
                <w:sz w:val="20"/>
                <w:szCs w:val="20"/>
              </w:rPr>
              <w:t xml:space="preserve"> in the spring term will be fully implemented. </w:t>
            </w:r>
          </w:p>
          <w:p w14:paraId="721D43AD" w14:textId="77777777" w:rsidR="00346ACA" w:rsidRDefault="00346ACA" w:rsidP="0078072C">
            <w:pPr>
              <w:jc w:val="center"/>
            </w:pPr>
          </w:p>
        </w:tc>
      </w:tr>
      <w:tr w:rsidR="00346ACA" w14:paraId="346730C1" w14:textId="77777777" w:rsidTr="00E3280E">
        <w:tc>
          <w:tcPr>
            <w:tcW w:w="9242" w:type="dxa"/>
            <w:shd w:val="clear" w:color="auto" w:fill="B8CCE4" w:themeFill="accent1" w:themeFillTint="66"/>
          </w:tcPr>
          <w:p w14:paraId="7027B496" w14:textId="77777777" w:rsidR="00346ACA" w:rsidRPr="00E33C96" w:rsidRDefault="0001171A" w:rsidP="0078072C">
            <w:pPr>
              <w:jc w:val="center"/>
              <w:rPr>
                <w:b/>
                <w:sz w:val="32"/>
                <w:szCs w:val="32"/>
              </w:rPr>
            </w:pPr>
            <w:r w:rsidRPr="00E33C96">
              <w:rPr>
                <w:b/>
                <w:sz w:val="32"/>
                <w:szCs w:val="32"/>
              </w:rPr>
              <w:t>Teaching &amp; Learning</w:t>
            </w:r>
          </w:p>
          <w:p w14:paraId="3E47DCAC" w14:textId="77777777" w:rsidR="0001171A" w:rsidRPr="00297409" w:rsidRDefault="009C6B65" w:rsidP="009372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Revise</w:t>
            </w:r>
            <w:r w:rsidR="001C25CF" w:rsidRPr="00297409">
              <w:rPr>
                <w:sz w:val="20"/>
                <w:szCs w:val="20"/>
              </w:rPr>
              <w:t xml:space="preserve"> the essential elements of Quality First Teaching</w:t>
            </w:r>
            <w:r w:rsidR="0093729D" w:rsidRPr="00297409">
              <w:rPr>
                <w:sz w:val="20"/>
                <w:szCs w:val="20"/>
              </w:rPr>
              <w:t xml:space="preserve">: </w:t>
            </w:r>
            <w:r w:rsidR="0093729D" w:rsidRPr="00297409">
              <w:rPr>
                <w:color w:val="0070C0"/>
                <w:sz w:val="20"/>
                <w:szCs w:val="20"/>
              </w:rPr>
              <w:t>https://thirdspacelearning.com/blog/quality-first-teaching/</w:t>
            </w:r>
          </w:p>
          <w:p w14:paraId="65E987D3" w14:textId="77777777" w:rsidR="0093729D" w:rsidRPr="00297409" w:rsidRDefault="0093729D" w:rsidP="009372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 xml:space="preserve">Refresh your memory of what the EFF says makes the greatest difference to attainment e.g.: </w:t>
            </w:r>
          </w:p>
          <w:p w14:paraId="4B0CA595" w14:textId="77777777" w:rsidR="0093729D" w:rsidRPr="00297409" w:rsidRDefault="0093729D" w:rsidP="0093729D">
            <w:pPr>
              <w:pStyle w:val="ListParagraph"/>
              <w:rPr>
                <w:sz w:val="20"/>
                <w:szCs w:val="20"/>
              </w:rPr>
            </w:pPr>
            <w:r w:rsidRPr="00297409">
              <w:rPr>
                <w:color w:val="0070C0"/>
                <w:sz w:val="20"/>
                <w:szCs w:val="20"/>
              </w:rPr>
              <w:t>https://educationendowmentfoundation.org.uk/evidence-summaries/teaching-learning-toolkit</w:t>
            </w:r>
            <w:r w:rsidRPr="00297409">
              <w:rPr>
                <w:sz w:val="20"/>
                <w:szCs w:val="20"/>
              </w:rPr>
              <w:t>/</w:t>
            </w:r>
          </w:p>
          <w:p w14:paraId="3F392F9A" w14:textId="77777777" w:rsidR="0093729D" w:rsidRPr="00297409" w:rsidRDefault="0093729D" w:rsidP="0093729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Metacognition and self-regulation +7</w:t>
            </w:r>
          </w:p>
          <w:p w14:paraId="0FE4050F" w14:textId="77777777" w:rsidR="0093729D" w:rsidRPr="00297409" w:rsidRDefault="0093729D" w:rsidP="0093729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Reading comprehension strategies +6</w:t>
            </w:r>
          </w:p>
          <w:p w14:paraId="39A2C952" w14:textId="77777777" w:rsidR="001C25CF" w:rsidRPr="00297409" w:rsidRDefault="009772F7" w:rsidP="001C25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Familiarise yourself with</w:t>
            </w:r>
            <w:r w:rsidR="001C25CF" w:rsidRPr="00297409">
              <w:rPr>
                <w:sz w:val="20"/>
                <w:szCs w:val="20"/>
              </w:rPr>
              <w:t xml:space="preserve"> the spring and summer term curriculum content in phon</w:t>
            </w:r>
            <w:r w:rsidRPr="00297409">
              <w:rPr>
                <w:sz w:val="20"/>
                <w:szCs w:val="20"/>
              </w:rPr>
              <w:t>ics, reading, writing and maths</w:t>
            </w:r>
            <w:r w:rsidR="001C25CF" w:rsidRPr="00297409">
              <w:rPr>
                <w:sz w:val="20"/>
                <w:szCs w:val="20"/>
              </w:rPr>
              <w:t>.</w:t>
            </w:r>
            <w:r w:rsidR="00E33C96" w:rsidRPr="00297409">
              <w:rPr>
                <w:sz w:val="20"/>
                <w:szCs w:val="20"/>
              </w:rPr>
              <w:t xml:space="preserve"> Look </w:t>
            </w:r>
            <w:r w:rsidR="00127213" w:rsidRPr="00297409">
              <w:rPr>
                <w:sz w:val="20"/>
                <w:szCs w:val="20"/>
              </w:rPr>
              <w:t xml:space="preserve">also </w:t>
            </w:r>
            <w:r w:rsidR="00E33C96" w:rsidRPr="00297409">
              <w:rPr>
                <w:sz w:val="20"/>
                <w:szCs w:val="20"/>
              </w:rPr>
              <w:t xml:space="preserve">at this </w:t>
            </w:r>
            <w:r w:rsidR="00127213" w:rsidRPr="00297409">
              <w:rPr>
                <w:sz w:val="20"/>
                <w:szCs w:val="20"/>
              </w:rPr>
              <w:t>terms content</w:t>
            </w:r>
            <w:r w:rsidR="00E33C96" w:rsidRPr="00297409">
              <w:rPr>
                <w:sz w:val="20"/>
                <w:szCs w:val="20"/>
              </w:rPr>
              <w:t>.</w:t>
            </w:r>
          </w:p>
          <w:p w14:paraId="35122376" w14:textId="77777777" w:rsidR="001C25CF" w:rsidRPr="00297409" w:rsidRDefault="001C25CF" w:rsidP="001C25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 xml:space="preserve">Decide on essential teaching content </w:t>
            </w:r>
            <w:r w:rsidR="00E33C96" w:rsidRPr="00297409">
              <w:rPr>
                <w:sz w:val="20"/>
                <w:szCs w:val="20"/>
              </w:rPr>
              <w:t xml:space="preserve">only </w:t>
            </w:r>
            <w:r w:rsidR="0093729D" w:rsidRPr="00297409">
              <w:rPr>
                <w:sz w:val="20"/>
                <w:szCs w:val="20"/>
              </w:rPr>
              <w:t>for this</w:t>
            </w:r>
            <w:r w:rsidRPr="00297409">
              <w:rPr>
                <w:sz w:val="20"/>
                <w:szCs w:val="20"/>
              </w:rPr>
              <w:t xml:space="preserve"> term</w:t>
            </w:r>
            <w:r w:rsidR="00E33C96" w:rsidRPr="00297409">
              <w:rPr>
                <w:sz w:val="20"/>
                <w:szCs w:val="20"/>
              </w:rPr>
              <w:t xml:space="preserve">. T&amp;L plans </w:t>
            </w:r>
            <w:r w:rsidR="00127213" w:rsidRPr="00297409">
              <w:rPr>
                <w:sz w:val="20"/>
                <w:szCs w:val="20"/>
              </w:rPr>
              <w:t>sh</w:t>
            </w:r>
            <w:r w:rsidR="00E33C96" w:rsidRPr="00297409">
              <w:rPr>
                <w:sz w:val="20"/>
                <w:szCs w:val="20"/>
              </w:rPr>
              <w:t>ould be a balance of revising previous content and teaching new content from both the summer and autumn terms.</w:t>
            </w:r>
            <w:r w:rsidR="00E00E0B" w:rsidRPr="00297409">
              <w:rPr>
                <w:sz w:val="20"/>
                <w:szCs w:val="20"/>
              </w:rPr>
              <w:t xml:space="preserve"> Take a</w:t>
            </w:r>
            <w:r w:rsidR="009C6B65" w:rsidRPr="00297409">
              <w:rPr>
                <w:sz w:val="20"/>
                <w:szCs w:val="20"/>
              </w:rPr>
              <w:t xml:space="preserve">ccount of the x4 of cognitive load theory! </w:t>
            </w:r>
            <w:r w:rsidR="00E00E0B" w:rsidRPr="00297409">
              <w:rPr>
                <w:sz w:val="20"/>
                <w:szCs w:val="20"/>
              </w:rPr>
              <w:t>Remember the importance of modelling and the Golden Thread.</w:t>
            </w:r>
          </w:p>
          <w:p w14:paraId="13E72316" w14:textId="77777777" w:rsidR="00E3280E" w:rsidRPr="00297409" w:rsidRDefault="00E3280E" w:rsidP="001C25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7409">
              <w:rPr>
                <w:sz w:val="20"/>
                <w:szCs w:val="20"/>
              </w:rPr>
              <w:t>The teaching of vocabulary will remain a key focus in English, maths and project.</w:t>
            </w:r>
          </w:p>
          <w:p w14:paraId="2539C5D5" w14:textId="77777777" w:rsidR="001C25CF" w:rsidRDefault="00127213" w:rsidP="001C25CF">
            <w:pPr>
              <w:pStyle w:val="ListParagraph"/>
              <w:numPr>
                <w:ilvl w:val="0"/>
                <w:numId w:val="3"/>
              </w:numPr>
            </w:pPr>
            <w:r w:rsidRPr="00297409">
              <w:rPr>
                <w:sz w:val="20"/>
                <w:szCs w:val="20"/>
              </w:rPr>
              <w:t>Timetabling needs to ensure x5 sessions in each of these areas; phonics, reading, English and maths</w:t>
            </w:r>
            <w:r w:rsidR="0093729D" w:rsidRPr="00297409">
              <w:rPr>
                <w:sz w:val="20"/>
                <w:szCs w:val="20"/>
              </w:rPr>
              <w:t xml:space="preserve"> per week. Timetabling </w:t>
            </w:r>
            <w:r w:rsidRPr="00297409">
              <w:rPr>
                <w:sz w:val="20"/>
                <w:szCs w:val="20"/>
              </w:rPr>
              <w:t xml:space="preserve">also </w:t>
            </w:r>
            <w:r w:rsidR="0093729D" w:rsidRPr="00297409">
              <w:rPr>
                <w:sz w:val="20"/>
                <w:szCs w:val="20"/>
              </w:rPr>
              <w:t xml:space="preserve">needs to </w:t>
            </w:r>
            <w:r w:rsidRPr="00297409">
              <w:rPr>
                <w:sz w:val="20"/>
                <w:szCs w:val="20"/>
              </w:rPr>
              <w:t>take careful consideration of when TA support is available.</w:t>
            </w:r>
            <w:r w:rsidR="009C6B65">
              <w:t xml:space="preserve"> </w:t>
            </w:r>
          </w:p>
        </w:tc>
      </w:tr>
      <w:tr w:rsidR="00346ACA" w14:paraId="1CF3A385" w14:textId="77777777" w:rsidTr="00E3280E">
        <w:tc>
          <w:tcPr>
            <w:tcW w:w="9242" w:type="dxa"/>
            <w:shd w:val="clear" w:color="auto" w:fill="DBE5F1" w:themeFill="accent1" w:themeFillTint="33"/>
          </w:tcPr>
          <w:p w14:paraId="75C634AD" w14:textId="77777777" w:rsidR="00346ACA" w:rsidRPr="00F009BC" w:rsidRDefault="00127213" w:rsidP="0078072C">
            <w:pPr>
              <w:jc w:val="center"/>
              <w:rPr>
                <w:b/>
                <w:sz w:val="32"/>
                <w:szCs w:val="32"/>
              </w:rPr>
            </w:pPr>
            <w:r w:rsidRPr="00F009BC">
              <w:rPr>
                <w:b/>
                <w:sz w:val="32"/>
                <w:szCs w:val="32"/>
              </w:rPr>
              <w:t>Curriculum</w:t>
            </w:r>
          </w:p>
          <w:p w14:paraId="4FDFC583" w14:textId="77777777" w:rsidR="00127213" w:rsidRPr="00F009BC" w:rsidRDefault="00127213" w:rsidP="001272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09BC">
              <w:rPr>
                <w:sz w:val="20"/>
                <w:szCs w:val="20"/>
              </w:rPr>
              <w:t>Ensure you</w:t>
            </w:r>
            <w:r w:rsidR="00541497" w:rsidRPr="00F009BC">
              <w:rPr>
                <w:sz w:val="20"/>
                <w:szCs w:val="20"/>
              </w:rPr>
              <w:t>r</w:t>
            </w:r>
            <w:r w:rsidRPr="00F009BC">
              <w:rPr>
                <w:sz w:val="20"/>
                <w:szCs w:val="20"/>
              </w:rPr>
              <w:t xml:space="preserve"> T&amp;L plans include the </w:t>
            </w:r>
            <w:r w:rsidRPr="00F009BC">
              <w:rPr>
                <w:b/>
                <w:sz w:val="20"/>
                <w:szCs w:val="20"/>
              </w:rPr>
              <w:t>core subjects</w:t>
            </w:r>
            <w:r w:rsidRPr="00F009BC">
              <w:rPr>
                <w:sz w:val="20"/>
                <w:szCs w:val="20"/>
              </w:rPr>
              <w:t xml:space="preserve"> of computing and science and the </w:t>
            </w:r>
            <w:r w:rsidRPr="00F009BC">
              <w:rPr>
                <w:b/>
                <w:sz w:val="20"/>
                <w:szCs w:val="20"/>
              </w:rPr>
              <w:t>Foundation subjects</w:t>
            </w:r>
            <w:r w:rsidRPr="00F009BC">
              <w:rPr>
                <w:sz w:val="20"/>
                <w:szCs w:val="20"/>
              </w:rPr>
              <w:t xml:space="preserve"> of art</w:t>
            </w:r>
            <w:r w:rsidR="00F009BC" w:rsidRPr="00F009BC">
              <w:rPr>
                <w:sz w:val="20"/>
                <w:szCs w:val="20"/>
              </w:rPr>
              <w:t xml:space="preserve"> and design</w:t>
            </w:r>
            <w:r w:rsidRPr="00F009BC">
              <w:rPr>
                <w:sz w:val="20"/>
                <w:szCs w:val="20"/>
              </w:rPr>
              <w:t>, DT, geography</w:t>
            </w:r>
            <w:r w:rsidR="00541497" w:rsidRPr="00F009BC">
              <w:rPr>
                <w:sz w:val="20"/>
                <w:szCs w:val="20"/>
              </w:rPr>
              <w:t xml:space="preserve"> and</w:t>
            </w:r>
            <w:r w:rsidRPr="00F009BC">
              <w:rPr>
                <w:sz w:val="20"/>
                <w:szCs w:val="20"/>
              </w:rPr>
              <w:t xml:space="preserve"> history</w:t>
            </w:r>
            <w:r w:rsidR="00541497" w:rsidRPr="00F009BC">
              <w:rPr>
                <w:sz w:val="20"/>
                <w:szCs w:val="20"/>
              </w:rPr>
              <w:t>. Content in these subjects will need to be essential content only with some content not taught at all.</w:t>
            </w:r>
            <w:r w:rsidRPr="00F009BC">
              <w:rPr>
                <w:sz w:val="20"/>
                <w:szCs w:val="20"/>
              </w:rPr>
              <w:t xml:space="preserve"> </w:t>
            </w:r>
            <w:r w:rsidR="00E3280E" w:rsidRPr="00F009BC">
              <w:rPr>
                <w:sz w:val="20"/>
                <w:szCs w:val="20"/>
              </w:rPr>
              <w:t xml:space="preserve">Planning in these subjects needs to include practise of core subjects/areas.  </w:t>
            </w:r>
          </w:p>
          <w:p w14:paraId="56A90562" w14:textId="77777777" w:rsidR="0093729D" w:rsidRDefault="00E3280E" w:rsidP="0012721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09BC">
              <w:rPr>
                <w:sz w:val="20"/>
                <w:szCs w:val="20"/>
              </w:rPr>
              <w:t>PE is currently replaced by Outdoor Area activities/learning</w:t>
            </w:r>
            <w:r w:rsidR="0093729D" w:rsidRPr="00F009BC">
              <w:rPr>
                <w:sz w:val="20"/>
                <w:szCs w:val="20"/>
              </w:rPr>
              <w:t>.</w:t>
            </w:r>
          </w:p>
          <w:p w14:paraId="2D4075CA" w14:textId="77777777" w:rsidR="0093729D" w:rsidRPr="00F009BC" w:rsidRDefault="00541497" w:rsidP="00F009B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009BC">
              <w:rPr>
                <w:sz w:val="20"/>
                <w:szCs w:val="20"/>
              </w:rPr>
              <w:t xml:space="preserve">PPA will cover: RE, music </w:t>
            </w:r>
            <w:r w:rsidR="0093729D" w:rsidRPr="00F009BC">
              <w:rPr>
                <w:sz w:val="20"/>
                <w:szCs w:val="20"/>
              </w:rPr>
              <w:t>appreciation</w:t>
            </w:r>
            <w:r w:rsidR="00F009BC" w:rsidRPr="00F009BC">
              <w:rPr>
                <w:sz w:val="20"/>
                <w:szCs w:val="20"/>
              </w:rPr>
              <w:t>, phonics, guided reading and use of the outdoor area.</w:t>
            </w:r>
          </w:p>
        </w:tc>
      </w:tr>
    </w:tbl>
    <w:p w14:paraId="49D4F6B0" w14:textId="77777777" w:rsidR="00346ACA" w:rsidRDefault="00346ACA" w:rsidP="0078072C">
      <w:pPr>
        <w:jc w:val="center"/>
      </w:pPr>
    </w:p>
    <w:sectPr w:rsidR="00346A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180A" w14:textId="77777777" w:rsidR="00AA3F73" w:rsidRDefault="00AA3F73" w:rsidP="00346ACA">
      <w:pPr>
        <w:spacing w:after="0" w:line="240" w:lineRule="auto"/>
      </w:pPr>
      <w:r>
        <w:separator/>
      </w:r>
    </w:p>
  </w:endnote>
  <w:endnote w:type="continuationSeparator" w:id="0">
    <w:p w14:paraId="2F1D491F" w14:textId="77777777" w:rsidR="00AA3F73" w:rsidRDefault="00AA3F73" w:rsidP="0034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98E7" w14:textId="77777777" w:rsidR="00346ACA" w:rsidRDefault="00346ACA">
    <w:pPr>
      <w:pStyle w:val="Footer"/>
    </w:pPr>
  </w:p>
  <w:p w14:paraId="520989FE" w14:textId="77777777" w:rsidR="00346ACA" w:rsidRDefault="00346ACA">
    <w:pPr>
      <w:pStyle w:val="Footer"/>
    </w:pPr>
  </w:p>
  <w:p w14:paraId="52FFB854" w14:textId="77777777" w:rsidR="00346ACA" w:rsidRDefault="00346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69A3" w14:textId="77777777" w:rsidR="00AA3F73" w:rsidRDefault="00AA3F73" w:rsidP="00346ACA">
      <w:pPr>
        <w:spacing w:after="0" w:line="240" w:lineRule="auto"/>
      </w:pPr>
      <w:r>
        <w:separator/>
      </w:r>
    </w:p>
  </w:footnote>
  <w:footnote w:type="continuationSeparator" w:id="0">
    <w:p w14:paraId="62D0DB0F" w14:textId="77777777" w:rsidR="00AA3F73" w:rsidRDefault="00AA3F73" w:rsidP="0034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7CDE"/>
    <w:multiLevelType w:val="hybridMultilevel"/>
    <w:tmpl w:val="46EC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5F7A"/>
    <w:multiLevelType w:val="hybridMultilevel"/>
    <w:tmpl w:val="2CA2B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9FE"/>
    <w:multiLevelType w:val="hybridMultilevel"/>
    <w:tmpl w:val="0220C0D0"/>
    <w:lvl w:ilvl="0" w:tplc="85160DD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848CC"/>
    <w:multiLevelType w:val="hybridMultilevel"/>
    <w:tmpl w:val="D7BE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47573"/>
    <w:multiLevelType w:val="hybridMultilevel"/>
    <w:tmpl w:val="FD425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1BEA"/>
    <w:multiLevelType w:val="hybridMultilevel"/>
    <w:tmpl w:val="0D7C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F6D5B"/>
    <w:multiLevelType w:val="hybridMultilevel"/>
    <w:tmpl w:val="3C366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66AB"/>
    <w:multiLevelType w:val="hybridMultilevel"/>
    <w:tmpl w:val="D01A1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3899"/>
    <w:multiLevelType w:val="hybridMultilevel"/>
    <w:tmpl w:val="3FBC88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D6611"/>
    <w:multiLevelType w:val="hybridMultilevel"/>
    <w:tmpl w:val="59DE2C92"/>
    <w:lvl w:ilvl="0" w:tplc="0EA0508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1A329B"/>
    <w:multiLevelType w:val="hybridMultilevel"/>
    <w:tmpl w:val="3A04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93422"/>
    <w:multiLevelType w:val="hybridMultilevel"/>
    <w:tmpl w:val="95324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2C"/>
    <w:rsid w:val="0001171A"/>
    <w:rsid w:val="00127213"/>
    <w:rsid w:val="001C25CF"/>
    <w:rsid w:val="00262708"/>
    <w:rsid w:val="00273DED"/>
    <w:rsid w:val="00295003"/>
    <w:rsid w:val="00297409"/>
    <w:rsid w:val="002B3F87"/>
    <w:rsid w:val="00313B2A"/>
    <w:rsid w:val="00342C4D"/>
    <w:rsid w:val="00346ACA"/>
    <w:rsid w:val="00484A75"/>
    <w:rsid w:val="0051583C"/>
    <w:rsid w:val="00541497"/>
    <w:rsid w:val="005D7756"/>
    <w:rsid w:val="00671F23"/>
    <w:rsid w:val="0078072C"/>
    <w:rsid w:val="007E0510"/>
    <w:rsid w:val="00926AAC"/>
    <w:rsid w:val="0093729D"/>
    <w:rsid w:val="009545E9"/>
    <w:rsid w:val="009772F7"/>
    <w:rsid w:val="009C6B65"/>
    <w:rsid w:val="00A252C7"/>
    <w:rsid w:val="00A95219"/>
    <w:rsid w:val="00AA3F73"/>
    <w:rsid w:val="00AC24A4"/>
    <w:rsid w:val="00BD1217"/>
    <w:rsid w:val="00C00E58"/>
    <w:rsid w:val="00CC26A3"/>
    <w:rsid w:val="00D0778A"/>
    <w:rsid w:val="00D724B2"/>
    <w:rsid w:val="00E00E0B"/>
    <w:rsid w:val="00E3280E"/>
    <w:rsid w:val="00E33C96"/>
    <w:rsid w:val="00F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6AD6"/>
  <w15:docId w15:val="{3D4D9A64-4555-414D-B891-D1715046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ACA"/>
  </w:style>
  <w:style w:type="paragraph" w:styleId="Footer">
    <w:name w:val="footer"/>
    <w:basedOn w:val="Normal"/>
    <w:link w:val="FooterChar"/>
    <w:uiPriority w:val="99"/>
    <w:unhideWhenUsed/>
    <w:rsid w:val="0034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CA"/>
  </w:style>
  <w:style w:type="paragraph" w:styleId="ListParagraph">
    <w:name w:val="List Paragraph"/>
    <w:basedOn w:val="Normal"/>
    <w:uiPriority w:val="34"/>
    <w:qFormat/>
    <w:rsid w:val="0034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Kenney</dc:creator>
  <cp:lastModifiedBy>Dianne Goodwin</cp:lastModifiedBy>
  <cp:revision>2</cp:revision>
  <cp:lastPrinted>2020-09-15T07:07:00Z</cp:lastPrinted>
  <dcterms:created xsi:type="dcterms:W3CDTF">2021-05-14T14:34:00Z</dcterms:created>
  <dcterms:modified xsi:type="dcterms:W3CDTF">2021-05-14T14:34:00Z</dcterms:modified>
</cp:coreProperties>
</file>