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1B19" w14:textId="2D62E5A0" w:rsidR="007C71F7" w:rsidRPr="006C10A4" w:rsidRDefault="00E86422" w:rsidP="00902B41">
      <w:pPr>
        <w:jc w:val="center"/>
        <w:rPr>
          <w:rFonts w:cstheme="minorHAnsi"/>
          <w:b/>
          <w:sz w:val="36"/>
          <w:szCs w:val="36"/>
        </w:rPr>
      </w:pPr>
      <w:r w:rsidRPr="006C10A4">
        <w:rPr>
          <w:rFonts w:cstheme="minorHAnsi"/>
          <w:b/>
          <w:sz w:val="36"/>
          <w:szCs w:val="36"/>
        </w:rPr>
        <w:t xml:space="preserve">Year </w:t>
      </w:r>
      <w:r w:rsidR="00C65343" w:rsidRPr="006C10A4">
        <w:rPr>
          <w:rFonts w:cstheme="minorHAnsi"/>
          <w:b/>
          <w:sz w:val="36"/>
          <w:szCs w:val="36"/>
        </w:rPr>
        <w:t>6</w:t>
      </w:r>
      <w:r w:rsidRPr="006C10A4">
        <w:rPr>
          <w:rFonts w:cstheme="minorHAnsi"/>
          <w:b/>
          <w:sz w:val="36"/>
          <w:szCs w:val="36"/>
        </w:rPr>
        <w:t xml:space="preserve"> </w:t>
      </w:r>
      <w:r w:rsidR="00902B41" w:rsidRPr="006C10A4">
        <w:rPr>
          <w:rFonts w:cstheme="minorHAnsi"/>
          <w:b/>
          <w:sz w:val="36"/>
          <w:szCs w:val="36"/>
        </w:rPr>
        <w:t xml:space="preserve">Curriculum </w:t>
      </w:r>
      <w:r w:rsidR="007E40AB" w:rsidRPr="006C10A4">
        <w:rPr>
          <w:rFonts w:cstheme="minorHAnsi"/>
          <w:b/>
          <w:sz w:val="36"/>
          <w:szCs w:val="36"/>
        </w:rPr>
        <w:t>Spring</w:t>
      </w:r>
      <w:r w:rsidRPr="006C10A4">
        <w:rPr>
          <w:rFonts w:cstheme="minorHAnsi"/>
          <w:b/>
          <w:sz w:val="36"/>
          <w:szCs w:val="36"/>
        </w:rPr>
        <w:t xml:space="preserve"> Term</w:t>
      </w:r>
      <w:r w:rsidR="000D1678" w:rsidRPr="006C10A4">
        <w:rPr>
          <w:rFonts w:cstheme="minorHAnsi"/>
          <w:b/>
          <w:sz w:val="36"/>
          <w:szCs w:val="36"/>
        </w:rPr>
        <w:t xml:space="preserve"> </w:t>
      </w:r>
      <w:r w:rsidRPr="006C10A4">
        <w:rPr>
          <w:rFonts w:cstheme="minorHAnsi"/>
          <w:b/>
          <w:sz w:val="36"/>
          <w:szCs w:val="36"/>
        </w:rPr>
        <w:t>20</w:t>
      </w:r>
      <w:r w:rsidR="007E40AB" w:rsidRPr="006C10A4">
        <w:rPr>
          <w:rFonts w:cstheme="minorHAnsi"/>
          <w:b/>
          <w:sz w:val="36"/>
          <w:szCs w:val="36"/>
        </w:rPr>
        <w:t>20</w:t>
      </w:r>
    </w:p>
    <w:p w14:paraId="3C818927" w14:textId="577B9BDC" w:rsidR="00E86422" w:rsidRPr="006C10A4" w:rsidRDefault="00E86422" w:rsidP="00ED3A21">
      <w:pPr>
        <w:jc w:val="both"/>
        <w:rPr>
          <w:rFonts w:cstheme="minorHAnsi"/>
          <w:sz w:val="20"/>
          <w:szCs w:val="20"/>
        </w:rPr>
      </w:pPr>
    </w:p>
    <w:p w14:paraId="66568DD7" w14:textId="5CAEA0FC" w:rsidR="00000535" w:rsidRPr="006C10A4" w:rsidRDefault="00695756" w:rsidP="00ED3A21">
      <w:pPr>
        <w:jc w:val="both"/>
        <w:rPr>
          <w:rFonts w:cstheme="minorHAnsi"/>
          <w:sz w:val="20"/>
          <w:szCs w:val="20"/>
        </w:rPr>
      </w:pPr>
      <w:r w:rsidRPr="006C10A4">
        <w:rPr>
          <w:rFonts w:cstheme="minorHAnsi"/>
          <w:sz w:val="20"/>
          <w:szCs w:val="20"/>
        </w:rPr>
        <w:t>We</w:t>
      </w:r>
      <w:r w:rsidR="00000535" w:rsidRPr="006C10A4">
        <w:rPr>
          <w:rFonts w:cstheme="minorHAnsi"/>
          <w:sz w:val="20"/>
          <w:szCs w:val="20"/>
        </w:rPr>
        <w:t xml:space="preserve"> thought you would find it useful to have a clear idea about the skills and vocabulary your child</w:t>
      </w:r>
      <w:r w:rsidRPr="006C10A4">
        <w:rPr>
          <w:rFonts w:cstheme="minorHAnsi"/>
          <w:sz w:val="20"/>
          <w:szCs w:val="20"/>
        </w:rPr>
        <w:t xml:space="preserve"> has been learning since we came back after </w:t>
      </w:r>
      <w:r w:rsidR="00401A2C" w:rsidRPr="006C10A4">
        <w:rPr>
          <w:rFonts w:cstheme="minorHAnsi"/>
          <w:sz w:val="20"/>
          <w:szCs w:val="20"/>
        </w:rPr>
        <w:t>Christmas</w:t>
      </w:r>
      <w:r w:rsidRPr="006C10A4">
        <w:rPr>
          <w:rFonts w:cstheme="minorHAnsi"/>
          <w:sz w:val="20"/>
          <w:szCs w:val="20"/>
        </w:rPr>
        <w:t>, and to have some information about the rest of the spring term</w:t>
      </w:r>
      <w:r w:rsidR="00000535" w:rsidRPr="006C10A4">
        <w:rPr>
          <w:rFonts w:cstheme="minorHAnsi"/>
          <w:sz w:val="20"/>
          <w:szCs w:val="20"/>
        </w:rPr>
        <w:t>. The information below is, of course, only a starting point, and they will learn much more than we have written down!</w:t>
      </w:r>
    </w:p>
    <w:p w14:paraId="63841A78" w14:textId="5DF85CDC" w:rsidR="00000535" w:rsidRPr="006C10A4" w:rsidRDefault="00000535" w:rsidP="00ED3A21">
      <w:pPr>
        <w:jc w:val="both"/>
        <w:rPr>
          <w:rFonts w:cstheme="minorHAnsi"/>
          <w:sz w:val="20"/>
          <w:szCs w:val="20"/>
        </w:rPr>
      </w:pPr>
    </w:p>
    <w:p w14:paraId="0EB380B8" w14:textId="5C4251CA" w:rsidR="00E86422" w:rsidRPr="006C10A4" w:rsidRDefault="00E86422" w:rsidP="00ED3A21">
      <w:pPr>
        <w:jc w:val="both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>Key Learning: English and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E86422" w:rsidRPr="006C10A4" w14:paraId="5FAFBF3F" w14:textId="77777777" w:rsidTr="00707168">
        <w:tc>
          <w:tcPr>
            <w:tcW w:w="4629" w:type="dxa"/>
          </w:tcPr>
          <w:p w14:paraId="4C79B38C" w14:textId="3BCE22AE" w:rsidR="00E86422" w:rsidRPr="006C10A4" w:rsidRDefault="00E86422" w:rsidP="00ED3A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4629" w:type="dxa"/>
          </w:tcPr>
          <w:p w14:paraId="73E9CE35" w14:textId="5F5D9915" w:rsidR="00E86422" w:rsidRPr="006C10A4" w:rsidRDefault="00E86422" w:rsidP="00ED3A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4629" w:type="dxa"/>
          </w:tcPr>
          <w:p w14:paraId="6B98CAFA" w14:textId="70051AEB" w:rsidR="00E86422" w:rsidRPr="006C10A4" w:rsidRDefault="00E86422" w:rsidP="00ED3A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</w:tr>
      <w:tr w:rsidR="00E86422" w:rsidRPr="006C10A4" w14:paraId="4E268F9B" w14:textId="77777777" w:rsidTr="00707168">
        <w:tc>
          <w:tcPr>
            <w:tcW w:w="4629" w:type="dxa"/>
          </w:tcPr>
          <w:p w14:paraId="10EFD282" w14:textId="77777777" w:rsidR="00E86422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Continue to read and discuss an increasingly wide range of fiction, poetry, plays, and non-fiction books</w:t>
            </w:r>
          </w:p>
          <w:p w14:paraId="46F68C8F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876C3C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Read books that are structured in different ways and read for a range of purposes</w:t>
            </w:r>
          </w:p>
          <w:p w14:paraId="7DEEDE53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B245AE" w14:textId="0280AEE4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Ask questions to improve their understanding</w:t>
            </w:r>
          </w:p>
          <w:p w14:paraId="1DC20E50" w14:textId="38ABD05B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6513DE" w14:textId="52C6B5F0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Retrieve, record and present information from non-fiction texts</w:t>
            </w:r>
          </w:p>
          <w:p w14:paraId="2C3EAA28" w14:textId="7B127E92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8E902B" w14:textId="3EA030F0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Participate in discussions about books</w:t>
            </w:r>
          </w:p>
          <w:p w14:paraId="7448B969" w14:textId="5371395B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36DFB5CC" w14:textId="77777777" w:rsidR="00E86422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Identify the audience for and purpose for their writing</w:t>
            </w:r>
          </w:p>
          <w:p w14:paraId="350DF8BA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7B1E2C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Assess the effectiveness of their own and others’ writing</w:t>
            </w:r>
          </w:p>
          <w:p w14:paraId="381A65A3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E01DACF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Recognise vocabulary and structures that are appropriate for formal writing</w:t>
            </w:r>
          </w:p>
          <w:p w14:paraId="1CE3C7D2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C96C9A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Use commas to clarify meaning</w:t>
            </w:r>
          </w:p>
          <w:p w14:paraId="50C449AE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D5D3CB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Use modal verbs or adverbs to indicate degrees of probability</w:t>
            </w:r>
          </w:p>
          <w:p w14:paraId="5B588183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CABFAF" w14:textId="77777777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Use colons, semi-colons or dashes to mark the boundaries between independent clauses</w:t>
            </w:r>
          </w:p>
          <w:p w14:paraId="24FDF612" w14:textId="01F2343D" w:rsidR="00401A2C" w:rsidRPr="006C10A4" w:rsidRDefault="00401A2C" w:rsidP="00ED3A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9" w:type="dxa"/>
          </w:tcPr>
          <w:p w14:paraId="723DD082" w14:textId="77777777" w:rsidR="00E86422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Multiply 1-digit numbers with up to 2 decimal places by whole numbers</w:t>
            </w:r>
          </w:p>
          <w:p w14:paraId="492B1BFD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2531AA6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Solve problems involving the calculation of percentage</w:t>
            </w:r>
          </w:p>
          <w:p w14:paraId="181BB36E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CF1407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Recall and use equivalence between simple fractions, decimals and percentages</w:t>
            </w:r>
          </w:p>
          <w:p w14:paraId="1B80B6EB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F7C444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Use simple formulae</w:t>
            </w:r>
          </w:p>
          <w:p w14:paraId="40401C7B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DC809A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Express missing number problems algebraically</w:t>
            </w:r>
          </w:p>
          <w:p w14:paraId="4CC9D563" w14:textId="77777777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DD5CD02" w14:textId="28BC97B6" w:rsidR="00401A2C" w:rsidRPr="006C10A4" w:rsidRDefault="00401A2C" w:rsidP="0069575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Find pairs of numbers that satisfy an equation with 2 unknowns</w:t>
            </w:r>
          </w:p>
        </w:tc>
      </w:tr>
    </w:tbl>
    <w:p w14:paraId="3721F855" w14:textId="7BF3BE81" w:rsidR="00E86422" w:rsidRPr="006C10A4" w:rsidRDefault="00E86422" w:rsidP="00ED3A21">
      <w:pPr>
        <w:jc w:val="both"/>
        <w:rPr>
          <w:rFonts w:cstheme="minorHAnsi"/>
          <w:sz w:val="20"/>
          <w:szCs w:val="20"/>
        </w:rPr>
      </w:pPr>
    </w:p>
    <w:p w14:paraId="294DEB50" w14:textId="2ACE8BA3" w:rsidR="00F05C45" w:rsidRPr="006C10A4" w:rsidRDefault="00F05C45" w:rsidP="006C10A4">
      <w:pPr>
        <w:jc w:val="center"/>
        <w:rPr>
          <w:rFonts w:cstheme="minorHAnsi"/>
          <w:b/>
          <w:sz w:val="20"/>
          <w:szCs w:val="20"/>
        </w:rPr>
      </w:pPr>
    </w:p>
    <w:p w14:paraId="089C6417" w14:textId="4798CB1D" w:rsidR="000D1678" w:rsidRPr="006C10A4" w:rsidRDefault="006C10A4" w:rsidP="00ED3A21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C10A4">
        <w:rPr>
          <w:rFonts w:cstheme="minorHAnsi"/>
          <w:b/>
          <w:sz w:val="20"/>
          <w:szCs w:val="20"/>
        </w:rPr>
        <w:t>Whole Class Guided Reading texts</w:t>
      </w:r>
    </w:p>
    <w:p w14:paraId="173D9053" w14:textId="79193A61" w:rsidR="006C10A4" w:rsidRPr="006C10A4" w:rsidRDefault="006C10A4" w:rsidP="00ED3A21">
      <w:pPr>
        <w:jc w:val="both"/>
        <w:rPr>
          <w:rFonts w:cstheme="minorHAnsi"/>
          <w:sz w:val="20"/>
          <w:szCs w:val="20"/>
        </w:rPr>
      </w:pPr>
      <w:r w:rsidRPr="006C10A4">
        <w:rPr>
          <w:rFonts w:cstheme="minorHAnsi"/>
          <w:sz w:val="20"/>
          <w:szCs w:val="20"/>
        </w:rPr>
        <w:t>What Darwin Saw</w:t>
      </w:r>
    </w:p>
    <w:p w14:paraId="57E19EE3" w14:textId="482EB5AF" w:rsidR="006C10A4" w:rsidRPr="006C10A4" w:rsidRDefault="006C10A4" w:rsidP="00ED3A21">
      <w:pPr>
        <w:jc w:val="both"/>
        <w:rPr>
          <w:rFonts w:cstheme="minorHAnsi"/>
          <w:sz w:val="20"/>
          <w:szCs w:val="20"/>
        </w:rPr>
      </w:pPr>
      <w:r w:rsidRPr="006C10A4">
        <w:rPr>
          <w:rFonts w:cstheme="minorHAnsi"/>
          <w:sz w:val="20"/>
          <w:szCs w:val="20"/>
        </w:rPr>
        <w:t>Moth</w:t>
      </w:r>
    </w:p>
    <w:p w14:paraId="42FCD04B" w14:textId="756F1AA2" w:rsidR="006C10A4" w:rsidRPr="006C10A4" w:rsidRDefault="006C10A4" w:rsidP="00ED3A21">
      <w:pPr>
        <w:jc w:val="both"/>
        <w:rPr>
          <w:rFonts w:cstheme="minorHAnsi"/>
          <w:sz w:val="20"/>
          <w:szCs w:val="20"/>
        </w:rPr>
      </w:pPr>
      <w:r w:rsidRPr="006C10A4">
        <w:rPr>
          <w:rFonts w:cstheme="minorHAnsi"/>
          <w:sz w:val="20"/>
          <w:szCs w:val="20"/>
        </w:rPr>
        <w:t>Mountains of the World</w:t>
      </w:r>
    </w:p>
    <w:p w14:paraId="425DB276" w14:textId="1F942B37" w:rsidR="006C10A4" w:rsidRPr="006C10A4" w:rsidRDefault="006C10A4" w:rsidP="00ED3A21">
      <w:pPr>
        <w:jc w:val="both"/>
        <w:rPr>
          <w:rFonts w:cstheme="minorHAnsi"/>
          <w:sz w:val="20"/>
          <w:szCs w:val="20"/>
        </w:rPr>
      </w:pPr>
    </w:p>
    <w:p w14:paraId="124AA85D" w14:textId="24E77B15" w:rsidR="006C10A4" w:rsidRPr="006C10A4" w:rsidRDefault="006C10A4" w:rsidP="00ED3A21">
      <w:pPr>
        <w:jc w:val="both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>Online Safety</w:t>
      </w:r>
    </w:p>
    <w:p w14:paraId="5F698F37" w14:textId="312BCBA0" w:rsidR="006C10A4" w:rsidRPr="006C10A4" w:rsidRDefault="006C10A4" w:rsidP="00ED3A21">
      <w:pPr>
        <w:jc w:val="both"/>
        <w:rPr>
          <w:rFonts w:cstheme="minorHAnsi"/>
          <w:sz w:val="20"/>
          <w:szCs w:val="20"/>
        </w:rPr>
      </w:pPr>
      <w:r w:rsidRPr="006C10A4">
        <w:rPr>
          <w:rFonts w:cstheme="minorHAnsi"/>
          <w:sz w:val="20"/>
          <w:szCs w:val="20"/>
        </w:rPr>
        <w:t>‘Computer Safety’ Unit in our 1Decision programme</w:t>
      </w:r>
    </w:p>
    <w:p w14:paraId="3BDA8E14" w14:textId="77777777" w:rsidR="00ED3A21" w:rsidRPr="006C10A4" w:rsidRDefault="00ED3A21" w:rsidP="00ED3A21">
      <w:pPr>
        <w:jc w:val="both"/>
        <w:rPr>
          <w:rFonts w:cstheme="minorHAnsi"/>
          <w:sz w:val="20"/>
          <w:szCs w:val="20"/>
        </w:rPr>
      </w:pPr>
    </w:p>
    <w:p w14:paraId="6793F2C2" w14:textId="77777777" w:rsidR="00000535" w:rsidRPr="006C10A4" w:rsidRDefault="00000535">
      <w:pPr>
        <w:spacing w:after="200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br w:type="page"/>
      </w:r>
    </w:p>
    <w:p w14:paraId="3402855B" w14:textId="3AB48C56" w:rsidR="000D1678" w:rsidRPr="006C10A4" w:rsidRDefault="00695756" w:rsidP="00000535">
      <w:pPr>
        <w:jc w:val="center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lastRenderedPageBreak/>
        <w:t>Spring</w:t>
      </w:r>
      <w:r w:rsidR="000D1678" w:rsidRPr="006C10A4">
        <w:rPr>
          <w:rFonts w:cstheme="minorHAnsi"/>
          <w:b/>
          <w:sz w:val="20"/>
          <w:szCs w:val="20"/>
        </w:rPr>
        <w:t xml:space="preserve"> Term Key Vocabulary</w:t>
      </w:r>
      <w:r w:rsidR="00000535" w:rsidRPr="006C10A4">
        <w:rPr>
          <w:rFonts w:cstheme="minorHAnsi"/>
          <w:b/>
          <w:sz w:val="20"/>
          <w:szCs w:val="20"/>
        </w:rPr>
        <w:t xml:space="preserve"> and Skills</w:t>
      </w:r>
    </w:p>
    <w:p w14:paraId="24AD1DC6" w14:textId="77777777" w:rsidR="00000535" w:rsidRPr="006C10A4" w:rsidRDefault="00000535" w:rsidP="00000535">
      <w:pPr>
        <w:jc w:val="center"/>
        <w:rPr>
          <w:rFonts w:cstheme="minorHAnsi"/>
          <w:b/>
          <w:sz w:val="20"/>
          <w:szCs w:val="20"/>
        </w:rPr>
      </w:pPr>
    </w:p>
    <w:p w14:paraId="76537112" w14:textId="7DAF827A" w:rsidR="00ED3A21" w:rsidRPr="006C10A4" w:rsidRDefault="00871DE5" w:rsidP="00ED3A21">
      <w:pPr>
        <w:jc w:val="both"/>
        <w:rPr>
          <w:rFonts w:cstheme="minorHAnsi"/>
          <w:sz w:val="20"/>
          <w:szCs w:val="20"/>
        </w:rPr>
      </w:pPr>
      <w:r w:rsidRPr="006C10A4">
        <w:rPr>
          <w:rFonts w:cstheme="minorHAnsi"/>
          <w:sz w:val="20"/>
          <w:szCs w:val="20"/>
        </w:rPr>
        <w:t>This is a brief overview of some of the</w:t>
      </w:r>
      <w:r w:rsidR="00ED3A21" w:rsidRPr="006C10A4">
        <w:rPr>
          <w:rFonts w:cstheme="minorHAnsi"/>
          <w:sz w:val="20"/>
          <w:szCs w:val="20"/>
        </w:rPr>
        <w:t xml:space="preserve"> </w:t>
      </w:r>
      <w:r w:rsidR="007F2063" w:rsidRPr="006C10A4">
        <w:rPr>
          <w:rFonts w:cstheme="minorHAnsi"/>
          <w:sz w:val="20"/>
          <w:szCs w:val="20"/>
        </w:rPr>
        <w:t>vocabulary</w:t>
      </w:r>
      <w:r w:rsidR="00ED3A21" w:rsidRPr="006C10A4">
        <w:rPr>
          <w:rFonts w:cstheme="minorHAnsi"/>
          <w:sz w:val="20"/>
          <w:szCs w:val="20"/>
        </w:rPr>
        <w:t xml:space="preserve"> the children will learn</w:t>
      </w:r>
      <w:r w:rsidR="007F2063" w:rsidRPr="006C10A4">
        <w:rPr>
          <w:rFonts w:cstheme="minorHAnsi"/>
          <w:sz w:val="20"/>
          <w:szCs w:val="20"/>
        </w:rPr>
        <w:t xml:space="preserve"> this term. It</w:t>
      </w:r>
      <w:r w:rsidRPr="006C10A4">
        <w:rPr>
          <w:rFonts w:cstheme="minorHAnsi"/>
          <w:sz w:val="20"/>
          <w:szCs w:val="20"/>
        </w:rPr>
        <w:t xml:space="preserve"> is</w:t>
      </w:r>
      <w:r w:rsidR="00ED3A21" w:rsidRPr="006C10A4">
        <w:rPr>
          <w:rFonts w:cstheme="minorHAnsi"/>
          <w:sz w:val="20"/>
          <w:szCs w:val="20"/>
        </w:rPr>
        <w:t xml:space="preserve"> the minimum we expect all </w:t>
      </w:r>
      <w:r w:rsidRPr="006C10A4">
        <w:rPr>
          <w:rFonts w:cstheme="minorHAnsi"/>
          <w:sz w:val="20"/>
          <w:szCs w:val="20"/>
        </w:rPr>
        <w:t xml:space="preserve">of the </w:t>
      </w:r>
      <w:r w:rsidR="00ED3A21" w:rsidRPr="006C10A4">
        <w:rPr>
          <w:rFonts w:cstheme="minorHAnsi"/>
          <w:sz w:val="20"/>
          <w:szCs w:val="20"/>
        </w:rPr>
        <w:t xml:space="preserve">children to know and understand well by </w:t>
      </w:r>
      <w:r w:rsidR="007A1D4A" w:rsidRPr="006C10A4">
        <w:rPr>
          <w:rFonts w:cstheme="minorHAnsi"/>
          <w:sz w:val="20"/>
          <w:szCs w:val="20"/>
        </w:rPr>
        <w:t>Easter</w:t>
      </w:r>
      <w:r w:rsidR="00000535" w:rsidRPr="006C10A4">
        <w:rPr>
          <w:rFonts w:cstheme="minorHAnsi"/>
          <w:sz w:val="20"/>
          <w:szCs w:val="20"/>
        </w:rPr>
        <w:t>.</w:t>
      </w:r>
    </w:p>
    <w:p w14:paraId="2130E3F9" w14:textId="77777777" w:rsidR="007C71F7" w:rsidRPr="006C10A4" w:rsidRDefault="007C71F7" w:rsidP="007C71F7">
      <w:pPr>
        <w:rPr>
          <w:rFonts w:cstheme="minorHAnsi"/>
          <w:sz w:val="20"/>
          <w:szCs w:val="20"/>
        </w:rPr>
      </w:pPr>
    </w:p>
    <w:p w14:paraId="0C2FA029" w14:textId="53E99B20" w:rsidR="007C71F7" w:rsidRPr="006C10A4" w:rsidRDefault="007C71F7" w:rsidP="007C71F7">
      <w:pPr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 xml:space="preserve">Art - </w:t>
      </w:r>
      <w:r w:rsidR="006C10A4" w:rsidRPr="006C10A4">
        <w:rPr>
          <w:rFonts w:cstheme="minorHAnsi"/>
          <w:sz w:val="20"/>
          <w:szCs w:val="20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C71F7" w:rsidRPr="006C10A4" w14:paraId="75CDA102" w14:textId="77777777" w:rsidTr="00F32050">
        <w:tc>
          <w:tcPr>
            <w:tcW w:w="7088" w:type="dxa"/>
          </w:tcPr>
          <w:p w14:paraId="1A1FF800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5779C6D4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7C71F7" w:rsidRPr="006C10A4" w14:paraId="2B2DBCC7" w14:textId="77777777" w:rsidTr="00F32050">
        <w:tc>
          <w:tcPr>
            <w:tcW w:w="7088" w:type="dxa"/>
          </w:tcPr>
          <w:p w14:paraId="71D8DA96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bCs/>
                <w:sz w:val="20"/>
                <w:szCs w:val="20"/>
              </w:rPr>
              <w:t>Harmonious</w:t>
            </w:r>
            <w:r w:rsidRPr="006C10A4">
              <w:rPr>
                <w:rFonts w:cstheme="minorHAnsi"/>
                <w:sz w:val="20"/>
                <w:szCs w:val="20"/>
              </w:rPr>
              <w:t xml:space="preserve"> - </w:t>
            </w:r>
            <w:r w:rsidRPr="006C10A4">
              <w:rPr>
                <w:rFonts w:eastAsia="Calibri" w:cstheme="minorHAnsi"/>
                <w:sz w:val="20"/>
                <w:szCs w:val="20"/>
              </w:rPr>
              <w:t>The principle of design that creates unity within a work of art.</w:t>
            </w:r>
          </w:p>
          <w:p w14:paraId="27468E93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bCs/>
                <w:sz w:val="20"/>
                <w:szCs w:val="20"/>
              </w:rPr>
              <w:t>Hue</w:t>
            </w:r>
            <w:r w:rsidRPr="006C10A4">
              <w:rPr>
                <w:rFonts w:cstheme="minorHAnsi"/>
                <w:sz w:val="20"/>
                <w:szCs w:val="20"/>
              </w:rPr>
              <w:t xml:space="preserve"> - </w:t>
            </w:r>
            <w:r w:rsidRPr="006C10A4">
              <w:rPr>
                <w:rFonts w:eastAsia="Calibri" w:cstheme="minorHAnsi"/>
                <w:sz w:val="20"/>
                <w:szCs w:val="20"/>
              </w:rPr>
              <w:t>The gradation or attribute of a colour that defines its general classification as a red, blue, yellow, green or intermediate colour</w:t>
            </w:r>
          </w:p>
          <w:p w14:paraId="58D86E66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bCs/>
                <w:sz w:val="20"/>
                <w:szCs w:val="20"/>
              </w:rPr>
              <w:t>Graduated</w:t>
            </w:r>
            <w:r w:rsidRPr="006C10A4">
              <w:rPr>
                <w:rFonts w:cstheme="minorHAnsi"/>
                <w:sz w:val="20"/>
                <w:szCs w:val="20"/>
              </w:rPr>
              <w:t xml:space="preserve"> - increasing by regular amounts</w:t>
            </w:r>
          </w:p>
          <w:p w14:paraId="02102676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bCs/>
                <w:sz w:val="20"/>
                <w:szCs w:val="20"/>
              </w:rPr>
              <w:t>mid tone</w:t>
            </w:r>
            <w:r w:rsidRPr="006C10A4">
              <w:rPr>
                <w:rFonts w:cstheme="minorHAnsi"/>
                <w:sz w:val="20"/>
                <w:szCs w:val="20"/>
              </w:rPr>
              <w:t xml:space="preserve"> - particular quality of colour</w:t>
            </w:r>
          </w:p>
          <w:p w14:paraId="3CF937AD" w14:textId="40A02375" w:rsidR="007C71F7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bCs/>
                <w:sz w:val="20"/>
                <w:szCs w:val="20"/>
              </w:rPr>
              <w:t xml:space="preserve">Diffused </w:t>
            </w:r>
            <w:r w:rsidRPr="006C10A4">
              <w:rPr>
                <w:rFonts w:cstheme="minorHAnsi"/>
                <w:sz w:val="20"/>
                <w:szCs w:val="20"/>
              </w:rPr>
              <w:t xml:space="preserve">- to move and spread through </w:t>
            </w:r>
            <w:proofErr w:type="spellStart"/>
            <w:r w:rsidRPr="006C10A4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Pr="006C10A4">
              <w:rPr>
                <w:rFonts w:cstheme="minorHAnsi"/>
                <w:sz w:val="20"/>
                <w:szCs w:val="20"/>
              </w:rPr>
              <w:t xml:space="preserve"> light</w:t>
            </w:r>
          </w:p>
        </w:tc>
        <w:tc>
          <w:tcPr>
            <w:tcW w:w="7088" w:type="dxa"/>
          </w:tcPr>
          <w:p w14:paraId="3EA8875D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Use sketchbooks to record observations and use them to review and revisit</w:t>
            </w:r>
          </w:p>
          <w:p w14:paraId="625DCC61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Create paintings inspired by landscapes, themes, music and poetry using acrylics and watercolours</w:t>
            </w:r>
          </w:p>
          <w:p w14:paraId="43769E06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Create prints with three overlays</w:t>
            </w:r>
          </w:p>
          <w:p w14:paraId="3BAB06B9" w14:textId="38991E87" w:rsidR="007C71F7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Learn about a great painter</w:t>
            </w:r>
          </w:p>
        </w:tc>
      </w:tr>
    </w:tbl>
    <w:p w14:paraId="197E18C8" w14:textId="091FD18B" w:rsidR="007C71F7" w:rsidRPr="006C10A4" w:rsidRDefault="007C71F7" w:rsidP="00ED3A21">
      <w:pPr>
        <w:jc w:val="both"/>
        <w:rPr>
          <w:rFonts w:cstheme="minorHAnsi"/>
          <w:sz w:val="20"/>
          <w:szCs w:val="20"/>
        </w:rPr>
      </w:pPr>
    </w:p>
    <w:p w14:paraId="27392027" w14:textId="77777777" w:rsidR="006C10A4" w:rsidRPr="006C10A4" w:rsidRDefault="007C71F7" w:rsidP="006C10A4">
      <w:pPr>
        <w:rPr>
          <w:rFonts w:cstheme="minorHAnsi"/>
          <w:i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 xml:space="preserve">Human and Physical Geography </w:t>
      </w:r>
      <w:r w:rsidR="006C10A4" w:rsidRPr="006C10A4">
        <w:rPr>
          <w:rFonts w:cstheme="minorHAnsi"/>
          <w:i/>
          <w:sz w:val="20"/>
          <w:szCs w:val="20"/>
        </w:rPr>
        <w:t>Locational Knowledge</w:t>
      </w:r>
    </w:p>
    <w:p w14:paraId="7081AF1E" w14:textId="158485DA" w:rsidR="007C71F7" w:rsidRPr="009C4E32" w:rsidRDefault="009C4E32" w:rsidP="006C10A4">
      <w:pPr>
        <w:rPr>
          <w:rFonts w:ascii="Times New Roman" w:eastAsia="Times New Roman" w:hAnsi="Times New Roman" w:cs="Times New Roman"/>
          <w:sz w:val="20"/>
          <w:szCs w:val="20"/>
        </w:rPr>
      </w:pPr>
      <w:r w:rsidRPr="009C4E32">
        <w:rPr>
          <w:rFonts w:ascii="Calibri" w:eastAsia="Times New Roman" w:hAnsi="Calibri" w:cs="Calibri"/>
          <w:color w:val="0B0C0C"/>
          <w:sz w:val="20"/>
          <w:szCs w:val="20"/>
        </w:rPr>
        <w:t>K</w:t>
      </w:r>
      <w:r w:rsidRPr="009C4E32">
        <w:rPr>
          <w:rFonts w:ascii="Calibri" w:eastAsia="Times New Roman" w:hAnsi="Calibri" w:cs="Calibri"/>
          <w:color w:val="000000"/>
          <w:sz w:val="20"/>
          <w:szCs w:val="20"/>
        </w:rPr>
        <w:t>nowledge of the flags and capital cities of a range of countries across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71"/>
      </w:tblGrid>
      <w:tr w:rsidR="007C71F7" w:rsidRPr="006C10A4" w14:paraId="1201B185" w14:textId="77777777" w:rsidTr="006C10A4">
        <w:tc>
          <w:tcPr>
            <w:tcW w:w="6979" w:type="dxa"/>
          </w:tcPr>
          <w:p w14:paraId="3A28189F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6971" w:type="dxa"/>
          </w:tcPr>
          <w:p w14:paraId="2F455604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6C10A4" w:rsidRPr="006C10A4" w14:paraId="1E22A7E1" w14:textId="77777777" w:rsidTr="006C10A4">
        <w:tc>
          <w:tcPr>
            <w:tcW w:w="6979" w:type="dxa"/>
          </w:tcPr>
          <w:p w14:paraId="100CDC7F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Latitude – the distance from the equator</w:t>
            </w:r>
          </w:p>
          <w:p w14:paraId="5873BB64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Longitude – the distance west or east of a line passing through Greenwich</w:t>
            </w:r>
          </w:p>
          <w:p w14:paraId="6AE8E190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Equator – an imaginary line around the middle of the Earth, equal distance from the North and South Pole</w:t>
            </w:r>
          </w:p>
          <w:p w14:paraId="03224348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Northern hemisphere – the half of the globe lying to the north of the equator</w:t>
            </w:r>
          </w:p>
          <w:p w14:paraId="547BDF45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Southern hemisphere – the half of the globe lying to the south of the equator</w:t>
            </w:r>
          </w:p>
          <w:p w14:paraId="2F314A2A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 xml:space="preserve">Tropics of Cancer and Capricorn – positioned </w:t>
            </w:r>
            <w:proofErr w:type="spellStart"/>
            <w:r w:rsidRPr="006C10A4">
              <w:rPr>
                <w:rFonts w:cstheme="minorHAnsi"/>
                <w:sz w:val="20"/>
                <w:szCs w:val="20"/>
              </w:rPr>
              <w:t>approx</w:t>
            </w:r>
            <w:proofErr w:type="spellEnd"/>
            <w:r w:rsidRPr="006C10A4">
              <w:rPr>
                <w:rFonts w:cstheme="minorHAnsi"/>
                <w:sz w:val="20"/>
                <w:szCs w:val="20"/>
              </w:rPr>
              <w:t xml:space="preserve"> 23.4 degrees north of the equator</w:t>
            </w:r>
          </w:p>
          <w:p w14:paraId="10F6ED8D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 xml:space="preserve">Arctic and Antarctic Circles – an imaginary circle lying </w:t>
            </w:r>
            <w:proofErr w:type="spellStart"/>
            <w:r w:rsidRPr="006C10A4">
              <w:rPr>
                <w:rFonts w:cstheme="minorHAnsi"/>
                <w:sz w:val="20"/>
                <w:szCs w:val="20"/>
              </w:rPr>
              <w:t>approx</w:t>
            </w:r>
            <w:proofErr w:type="spellEnd"/>
            <w:r w:rsidRPr="006C10A4">
              <w:rPr>
                <w:rFonts w:cstheme="minorHAnsi"/>
                <w:sz w:val="20"/>
                <w:szCs w:val="20"/>
              </w:rPr>
              <w:t xml:space="preserve"> 66.5 degrees north of the equator</w:t>
            </w:r>
          </w:p>
          <w:p w14:paraId="1F3F891C" w14:textId="6C03E7DA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Prime/Greenwich Meridian Time Zones – all time zones are measured from Greenwich Meridian</w:t>
            </w:r>
          </w:p>
        </w:tc>
        <w:tc>
          <w:tcPr>
            <w:tcW w:w="6971" w:type="dxa"/>
          </w:tcPr>
          <w:p w14:paraId="637BC432" w14:textId="4ED8146D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Extend knowledge and understanding beyond the local area, including the location of and characteristics of the world’s most significant human and physical</w:t>
            </w:r>
            <w:r w:rsidR="009C4E32">
              <w:rPr>
                <w:rFonts w:cstheme="minorHAnsi"/>
                <w:sz w:val="20"/>
                <w:szCs w:val="20"/>
              </w:rPr>
              <w:t xml:space="preserve"> features</w:t>
            </w:r>
          </w:p>
        </w:tc>
      </w:tr>
    </w:tbl>
    <w:p w14:paraId="24B67BB8" w14:textId="328F23ED" w:rsidR="007C71F7" w:rsidRPr="006C10A4" w:rsidRDefault="007C71F7" w:rsidP="00ED3A21">
      <w:pPr>
        <w:jc w:val="both"/>
        <w:rPr>
          <w:rFonts w:cstheme="minorHAnsi"/>
          <w:sz w:val="20"/>
          <w:szCs w:val="20"/>
        </w:rPr>
      </w:pPr>
    </w:p>
    <w:p w14:paraId="666845D5" w14:textId="5DF03E2D" w:rsidR="007C71F7" w:rsidRPr="006C10A4" w:rsidRDefault="006C10A4" w:rsidP="00B25002">
      <w:pPr>
        <w:jc w:val="both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 xml:space="preserve">RE </w:t>
      </w:r>
      <w:r w:rsidRPr="006C10A4">
        <w:rPr>
          <w:rFonts w:eastAsiaTheme="minorEastAsia" w:cstheme="minorHAnsi"/>
          <w:sz w:val="20"/>
          <w:szCs w:val="20"/>
        </w:rPr>
        <w:t xml:space="preserve">Why do some people believe in </w:t>
      </w:r>
      <w:r>
        <w:rPr>
          <w:rFonts w:eastAsiaTheme="minorEastAsia" w:cstheme="minorHAnsi"/>
          <w:sz w:val="20"/>
          <w:szCs w:val="20"/>
        </w:rPr>
        <w:t>a g</w:t>
      </w:r>
      <w:r w:rsidRPr="006C10A4">
        <w:rPr>
          <w:rFonts w:eastAsiaTheme="minorEastAsia" w:cstheme="minorHAnsi"/>
          <w:sz w:val="20"/>
          <w:szCs w:val="20"/>
        </w:rPr>
        <w:t>od and some people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C71F7" w:rsidRPr="006C10A4" w14:paraId="4E5131D7" w14:textId="77777777" w:rsidTr="00F32050">
        <w:tc>
          <w:tcPr>
            <w:tcW w:w="7088" w:type="dxa"/>
          </w:tcPr>
          <w:p w14:paraId="494BFB45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02F36408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7C71F7" w:rsidRPr="006C10A4" w14:paraId="30AE53FB" w14:textId="77777777" w:rsidTr="00F32050">
        <w:tc>
          <w:tcPr>
            <w:tcW w:w="7088" w:type="dxa"/>
          </w:tcPr>
          <w:p w14:paraId="4DF79015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eastAsiaTheme="minorEastAsia" w:cstheme="minorHAnsi"/>
                <w:b/>
                <w:bCs/>
                <w:sz w:val="20"/>
                <w:szCs w:val="20"/>
              </w:rPr>
              <w:t>Theist</w:t>
            </w:r>
            <w:r w:rsidRPr="006C10A4">
              <w:rPr>
                <w:rFonts w:eastAsiaTheme="minorEastAsia" w:cstheme="minorHAnsi"/>
                <w:sz w:val="20"/>
                <w:szCs w:val="20"/>
              </w:rPr>
              <w:t xml:space="preserve"> – someone who believes in God</w:t>
            </w:r>
          </w:p>
          <w:p w14:paraId="2D5F44FB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eastAsiaTheme="minorEastAsia" w:cstheme="minorHAnsi"/>
                <w:b/>
                <w:bCs/>
                <w:sz w:val="20"/>
                <w:szCs w:val="20"/>
              </w:rPr>
              <w:t>Atheist</w:t>
            </w:r>
            <w:r w:rsidRPr="006C10A4">
              <w:rPr>
                <w:rFonts w:eastAsiaTheme="minorEastAsia" w:cstheme="minorHAnsi"/>
                <w:sz w:val="20"/>
                <w:szCs w:val="20"/>
              </w:rPr>
              <w:t xml:space="preserve"> – believes there is no God</w:t>
            </w:r>
          </w:p>
          <w:p w14:paraId="3AE6125F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eastAsiaTheme="minorEastAsia" w:cstheme="minorHAnsi"/>
                <w:b/>
                <w:bCs/>
                <w:sz w:val="20"/>
                <w:szCs w:val="20"/>
              </w:rPr>
              <w:t>Agnostic</w:t>
            </w:r>
            <w:r w:rsidRPr="006C10A4">
              <w:rPr>
                <w:rFonts w:eastAsiaTheme="minorEastAsia" w:cstheme="minorHAnsi"/>
                <w:sz w:val="20"/>
                <w:szCs w:val="20"/>
              </w:rPr>
              <w:t xml:space="preserve"> – cannot say if God exists or not</w:t>
            </w:r>
          </w:p>
          <w:p w14:paraId="3160E539" w14:textId="77777777" w:rsidR="007C71F7" w:rsidRPr="006C10A4" w:rsidRDefault="007C71F7" w:rsidP="00D31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56CF53A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eastAsia="Cambria" w:cstheme="minorHAnsi"/>
                <w:sz w:val="20"/>
                <w:szCs w:val="20"/>
              </w:rPr>
              <w:t>Reflect on and articulate some ways in which believing in God is valuable in the lives of believers, and ways it can be challenging</w:t>
            </w:r>
          </w:p>
          <w:p w14:paraId="20089C79" w14:textId="77777777" w:rsidR="006C10A4" w:rsidRPr="006C10A4" w:rsidRDefault="006C10A4" w:rsidP="006C10A4">
            <w:pPr>
              <w:rPr>
                <w:rFonts w:eastAsia="Cambria" w:cstheme="minorHAnsi"/>
                <w:sz w:val="20"/>
                <w:szCs w:val="20"/>
              </w:rPr>
            </w:pPr>
          </w:p>
          <w:p w14:paraId="05677EBD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eastAsia="Cambria" w:cstheme="minorHAnsi"/>
                <w:sz w:val="20"/>
                <w:szCs w:val="20"/>
              </w:rPr>
              <w:t>Consider and weigh up different views on theism, agnosticism and atheism, expressing insights of their own about why people believe in God or not</w:t>
            </w:r>
          </w:p>
          <w:p w14:paraId="6E75D5A6" w14:textId="77777777" w:rsidR="006C10A4" w:rsidRPr="006C10A4" w:rsidRDefault="006C10A4" w:rsidP="006C10A4">
            <w:pPr>
              <w:rPr>
                <w:rFonts w:eastAsia="Cambria" w:cstheme="minorHAnsi"/>
                <w:sz w:val="20"/>
                <w:szCs w:val="20"/>
              </w:rPr>
            </w:pPr>
          </w:p>
          <w:p w14:paraId="00CC1781" w14:textId="39923BF7" w:rsidR="007C71F7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eastAsia="Cambria" w:cstheme="minorHAnsi"/>
                <w:sz w:val="20"/>
                <w:szCs w:val="20"/>
              </w:rPr>
              <w:t>Make connections between belief and behaviour in their own lives, in the light of their learning.</w:t>
            </w:r>
          </w:p>
        </w:tc>
      </w:tr>
    </w:tbl>
    <w:p w14:paraId="01185CE3" w14:textId="2AD88CCB" w:rsidR="007C71F7" w:rsidRPr="006C10A4" w:rsidRDefault="007C71F7" w:rsidP="00ED3A21">
      <w:pPr>
        <w:jc w:val="both"/>
        <w:rPr>
          <w:rFonts w:cstheme="minorHAnsi"/>
          <w:sz w:val="20"/>
          <w:szCs w:val="20"/>
        </w:rPr>
      </w:pPr>
    </w:p>
    <w:p w14:paraId="0B4AFEC0" w14:textId="6A58BCB1" w:rsidR="007C71F7" w:rsidRPr="006C10A4" w:rsidRDefault="007C71F7" w:rsidP="007C71F7">
      <w:pPr>
        <w:jc w:val="both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 xml:space="preserve">Music </w:t>
      </w:r>
      <w:r w:rsidR="009C4E32">
        <w:rPr>
          <w:rFonts w:cstheme="minorHAnsi"/>
          <w:b/>
          <w:sz w:val="20"/>
          <w:szCs w:val="20"/>
        </w:rPr>
        <w:t>–</w:t>
      </w:r>
      <w:r w:rsidR="006C10A4" w:rsidRPr="006C10A4">
        <w:rPr>
          <w:rFonts w:cstheme="minorHAnsi"/>
          <w:b/>
          <w:sz w:val="20"/>
          <w:szCs w:val="20"/>
        </w:rPr>
        <w:t xml:space="preserve"> </w:t>
      </w:r>
      <w:r w:rsidR="009C4E32">
        <w:rPr>
          <w:rFonts w:cstheme="minorHAnsi"/>
          <w:sz w:val="20"/>
          <w:szCs w:val="20"/>
        </w:rPr>
        <w:t>using examples from ’10 Pieces’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C71F7" w:rsidRPr="006C10A4" w14:paraId="3613264B" w14:textId="77777777" w:rsidTr="00F32050">
        <w:tc>
          <w:tcPr>
            <w:tcW w:w="7088" w:type="dxa"/>
          </w:tcPr>
          <w:p w14:paraId="571BC837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5FDCD639" w14:textId="77777777" w:rsidR="007C71F7" w:rsidRPr="006C10A4" w:rsidRDefault="007C71F7" w:rsidP="00F32050">
            <w:pPr>
              <w:rPr>
                <w:rFonts w:cstheme="minorHAnsi"/>
                <w:b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</w:tr>
      <w:tr w:rsidR="007C71F7" w:rsidRPr="006C10A4" w14:paraId="37D902E2" w14:textId="77777777" w:rsidTr="00D31322">
        <w:trPr>
          <w:trHeight w:val="177"/>
        </w:trPr>
        <w:tc>
          <w:tcPr>
            <w:tcW w:w="7088" w:type="dxa"/>
          </w:tcPr>
          <w:p w14:paraId="6A13E1D5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Notation</w:t>
            </w:r>
            <w:r w:rsidRPr="006C10A4">
              <w:rPr>
                <w:rFonts w:cstheme="minorHAnsi"/>
                <w:sz w:val="20"/>
                <w:szCs w:val="20"/>
              </w:rPr>
              <w:t xml:space="preserve"> – a set of symbols that represent music  </w:t>
            </w:r>
          </w:p>
          <w:p w14:paraId="17CBA5A9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Quaver</w:t>
            </w:r>
            <w:r w:rsidRPr="006C10A4">
              <w:rPr>
                <w:rFonts w:cstheme="minorHAnsi"/>
                <w:sz w:val="20"/>
                <w:szCs w:val="20"/>
              </w:rPr>
              <w:t xml:space="preserve"> – a musical note that is half as long as a crotchet</w:t>
            </w:r>
          </w:p>
          <w:p w14:paraId="7A9F12D7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Semibreve</w:t>
            </w:r>
            <w:r w:rsidRPr="006C10A4">
              <w:rPr>
                <w:rFonts w:cstheme="minorHAnsi"/>
                <w:sz w:val="20"/>
                <w:szCs w:val="20"/>
              </w:rPr>
              <w:t xml:space="preserve"> – a musical note that has a time value equal to two half notes</w:t>
            </w:r>
          </w:p>
          <w:p w14:paraId="43A2C920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time signature</w:t>
            </w:r>
            <w:r w:rsidRPr="006C10A4">
              <w:rPr>
                <w:rFonts w:cstheme="minorHAnsi"/>
                <w:sz w:val="20"/>
                <w:szCs w:val="20"/>
              </w:rPr>
              <w:t xml:space="preserve"> – 2 numbers written at the beginning to show how many beats there are in each bar</w:t>
            </w:r>
          </w:p>
          <w:p w14:paraId="259891AE" w14:textId="570AB6C0" w:rsidR="007C71F7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b/>
                <w:sz w:val="20"/>
                <w:szCs w:val="20"/>
              </w:rPr>
              <w:t>Accidentals</w:t>
            </w:r>
            <w:r w:rsidRPr="006C10A4">
              <w:rPr>
                <w:rFonts w:cstheme="minorHAnsi"/>
                <w:sz w:val="20"/>
                <w:szCs w:val="20"/>
              </w:rPr>
              <w:t xml:space="preserve"> – denotes sharps, flats or naturals that are not in the key signature of a piece</w:t>
            </w:r>
          </w:p>
        </w:tc>
        <w:tc>
          <w:tcPr>
            <w:tcW w:w="7088" w:type="dxa"/>
          </w:tcPr>
          <w:p w14:paraId="6C09535D" w14:textId="77777777" w:rsidR="006C10A4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>Improvise and compose music for a range of purposes</w:t>
            </w:r>
          </w:p>
          <w:p w14:paraId="12D95D32" w14:textId="5EE912F7" w:rsidR="007C71F7" w:rsidRPr="006C10A4" w:rsidRDefault="006C10A4" w:rsidP="006C10A4">
            <w:pPr>
              <w:rPr>
                <w:rFonts w:cstheme="minorHAnsi"/>
                <w:sz w:val="20"/>
                <w:szCs w:val="20"/>
              </w:rPr>
            </w:pPr>
            <w:r w:rsidRPr="006C10A4">
              <w:rPr>
                <w:rFonts w:cstheme="minorHAnsi"/>
                <w:sz w:val="20"/>
                <w:szCs w:val="20"/>
              </w:rPr>
              <w:t xml:space="preserve">Instruments – </w:t>
            </w:r>
            <w:r w:rsidR="009C4E32">
              <w:rPr>
                <w:rFonts w:cstheme="minorHAnsi"/>
                <w:sz w:val="20"/>
                <w:szCs w:val="20"/>
              </w:rPr>
              <w:t>ukulele</w:t>
            </w:r>
          </w:p>
        </w:tc>
      </w:tr>
    </w:tbl>
    <w:p w14:paraId="2DC21FCE" w14:textId="2130B71C" w:rsidR="007C71F7" w:rsidRPr="006C10A4" w:rsidRDefault="007C71F7" w:rsidP="00ED3A21">
      <w:pPr>
        <w:jc w:val="both"/>
        <w:rPr>
          <w:rFonts w:cstheme="minorHAnsi"/>
          <w:sz w:val="20"/>
          <w:szCs w:val="20"/>
        </w:rPr>
      </w:pPr>
    </w:p>
    <w:p w14:paraId="3CA86CBB" w14:textId="5A243AFF" w:rsidR="007C71F7" w:rsidRPr="006C10A4" w:rsidRDefault="007C71F7" w:rsidP="007C71F7">
      <w:pPr>
        <w:jc w:val="both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 xml:space="preserve">PE </w:t>
      </w:r>
      <w:r w:rsidR="006C10A4" w:rsidRPr="006C10A4">
        <w:rPr>
          <w:rFonts w:cstheme="minorHAnsi"/>
          <w:sz w:val="20"/>
          <w:szCs w:val="20"/>
        </w:rPr>
        <w:t>Gymnastics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C71F7" w:rsidRPr="006C10A4" w14:paraId="108844C0" w14:textId="77777777" w:rsidTr="00F32050">
        <w:tc>
          <w:tcPr>
            <w:tcW w:w="7088" w:type="dxa"/>
          </w:tcPr>
          <w:p w14:paraId="2460079E" w14:textId="77777777" w:rsidR="007C71F7" w:rsidRPr="006C10A4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13110F65" w14:textId="77777777" w:rsidR="007C71F7" w:rsidRPr="006C10A4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bCs/>
                <w:sz w:val="20"/>
                <w:szCs w:val="20"/>
              </w:rPr>
              <w:t>Skills</w:t>
            </w:r>
          </w:p>
        </w:tc>
      </w:tr>
      <w:tr w:rsidR="007C71F7" w:rsidRPr="006C10A4" w14:paraId="64B3B5AE" w14:textId="77777777" w:rsidTr="00F32050">
        <w:tc>
          <w:tcPr>
            <w:tcW w:w="7088" w:type="dxa"/>
          </w:tcPr>
          <w:p w14:paraId="666182FD" w14:textId="77777777" w:rsidR="006C10A4" w:rsidRPr="006C10A4" w:rsidRDefault="006C10A4" w:rsidP="006C10A4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>Acrobatic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 – involving highly-skilled balancing, jumping, somersaulting</w:t>
            </w:r>
          </w:p>
          <w:p w14:paraId="45EB1161" w14:textId="77777777" w:rsidR="006C10A4" w:rsidRPr="006C10A4" w:rsidRDefault="006C10A4" w:rsidP="006C10A4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 xml:space="preserve">Dismount 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>– the act of jumping off an apparatus like the uneven bars at the end of a routine</w:t>
            </w:r>
          </w:p>
          <w:p w14:paraId="66069E89" w14:textId="77777777" w:rsidR="006C10A4" w:rsidRPr="006C10A4" w:rsidRDefault="006C10A4" w:rsidP="006C10A4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>Somersault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 – a movement in which the body forms a ball and rolls forwards or backwards</w:t>
            </w:r>
          </w:p>
          <w:p w14:paraId="26FCE7FB" w14:textId="77777777" w:rsidR="006C10A4" w:rsidRPr="006C10A4" w:rsidRDefault="006C10A4" w:rsidP="006C10A4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>Springboard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 – a strong board used in gymnastics and diving that helps you jump higher than usual</w:t>
            </w:r>
          </w:p>
          <w:p w14:paraId="0938B029" w14:textId="4F5C4579" w:rsidR="007C71F7" w:rsidRPr="006C10A4" w:rsidRDefault="006C10A4" w:rsidP="006C10A4">
            <w:pPr>
              <w:spacing w:line="276" w:lineRule="auto"/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>Vault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 - to perform an acrobatic jump over a vaulting horse or a vaulting platform</w:t>
            </w:r>
          </w:p>
        </w:tc>
        <w:tc>
          <w:tcPr>
            <w:tcW w:w="7088" w:type="dxa"/>
          </w:tcPr>
          <w:p w14:paraId="13C46914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sz w:val="20"/>
                <w:szCs w:val="20"/>
              </w:rPr>
              <w:t>Develops strength, technique and flexibility throughout performances.</w:t>
            </w:r>
          </w:p>
          <w:p w14:paraId="70FFE9DF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sz w:val="20"/>
                <w:szCs w:val="20"/>
              </w:rPr>
              <w:t>Creates sequences using various body shapes and equipment.</w:t>
            </w:r>
          </w:p>
          <w:p w14:paraId="23B7FEB9" w14:textId="24BC0667" w:rsidR="007C71F7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sz w:val="20"/>
                <w:szCs w:val="20"/>
              </w:rPr>
              <w:t>Combines equipment with movement to create sequences.</w:t>
            </w:r>
          </w:p>
        </w:tc>
      </w:tr>
    </w:tbl>
    <w:p w14:paraId="03DFD2D8" w14:textId="5D4DB012" w:rsidR="007C71F7" w:rsidRPr="006C10A4" w:rsidRDefault="007C71F7" w:rsidP="00ED3A21">
      <w:pPr>
        <w:jc w:val="both"/>
        <w:rPr>
          <w:rFonts w:cstheme="minorHAnsi"/>
          <w:sz w:val="20"/>
          <w:szCs w:val="20"/>
        </w:rPr>
      </w:pPr>
    </w:p>
    <w:p w14:paraId="133A23EE" w14:textId="77777777" w:rsidR="00000535" w:rsidRPr="006C10A4" w:rsidRDefault="00000535">
      <w:pPr>
        <w:spacing w:after="200"/>
        <w:rPr>
          <w:rFonts w:eastAsiaTheme="majorEastAsia" w:cstheme="minorHAnsi"/>
          <w:b/>
          <w:iCs/>
          <w:sz w:val="20"/>
          <w:szCs w:val="20"/>
        </w:rPr>
      </w:pPr>
      <w:r w:rsidRPr="006C10A4">
        <w:rPr>
          <w:rFonts w:eastAsiaTheme="majorEastAsia" w:cstheme="minorHAnsi"/>
          <w:b/>
          <w:iCs/>
          <w:sz w:val="20"/>
          <w:szCs w:val="20"/>
        </w:rPr>
        <w:br w:type="page"/>
      </w:r>
    </w:p>
    <w:p w14:paraId="6C89693C" w14:textId="16C13D7B" w:rsidR="007C71F7" w:rsidRPr="006C10A4" w:rsidRDefault="007F2063" w:rsidP="007C71F7">
      <w:pPr>
        <w:rPr>
          <w:rFonts w:eastAsiaTheme="majorEastAsia" w:cstheme="minorHAnsi"/>
          <w:b/>
          <w:iCs/>
          <w:sz w:val="20"/>
          <w:szCs w:val="20"/>
        </w:rPr>
      </w:pPr>
      <w:r w:rsidRPr="006C10A4">
        <w:rPr>
          <w:rFonts w:eastAsiaTheme="majorEastAsia" w:cstheme="minorHAnsi"/>
          <w:b/>
          <w:iCs/>
          <w:sz w:val="20"/>
          <w:szCs w:val="20"/>
        </w:rPr>
        <w:lastRenderedPageBreak/>
        <w:t>Science</w:t>
      </w:r>
      <w:r w:rsidRPr="006C10A4">
        <w:rPr>
          <w:rFonts w:eastAsiaTheme="majorEastAsia" w:cstheme="minorHAnsi"/>
          <w:iCs/>
          <w:sz w:val="20"/>
          <w:szCs w:val="20"/>
        </w:rPr>
        <w:t xml:space="preserve"> </w:t>
      </w:r>
      <w:r w:rsidR="006C10A4">
        <w:rPr>
          <w:rFonts w:eastAsiaTheme="majorEastAsia" w:cstheme="minorHAnsi"/>
          <w:iCs/>
          <w:sz w:val="20"/>
          <w:szCs w:val="20"/>
        </w:rPr>
        <w:t>Evolution and Inheritance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7C71F7" w:rsidRPr="006C10A4" w14:paraId="397E6D44" w14:textId="77777777" w:rsidTr="00F32050">
        <w:tc>
          <w:tcPr>
            <w:tcW w:w="7088" w:type="dxa"/>
          </w:tcPr>
          <w:p w14:paraId="6E970ACB" w14:textId="77777777" w:rsidR="007C71F7" w:rsidRPr="006C10A4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7088" w:type="dxa"/>
          </w:tcPr>
          <w:p w14:paraId="33861272" w14:textId="77777777" w:rsidR="007C71F7" w:rsidRPr="006C10A4" w:rsidRDefault="007C71F7" w:rsidP="00F32050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bCs/>
                <w:sz w:val="20"/>
                <w:szCs w:val="20"/>
              </w:rPr>
              <w:t>Skills</w:t>
            </w:r>
          </w:p>
        </w:tc>
      </w:tr>
      <w:tr w:rsidR="007C71F7" w:rsidRPr="006C10A4" w14:paraId="1B540DB5" w14:textId="77777777" w:rsidTr="00F32050">
        <w:tc>
          <w:tcPr>
            <w:tcW w:w="7088" w:type="dxa"/>
          </w:tcPr>
          <w:p w14:paraId="75E14018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>Adaptation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 – changing behaviour to make it suitable for its environment</w:t>
            </w:r>
          </w:p>
          <w:p w14:paraId="5D64CC8E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>Evolution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 – a gradual change over generations that sees animals, plants and insects change some of their characteristics</w:t>
            </w:r>
          </w:p>
          <w:p w14:paraId="386F1B0B" w14:textId="7F085CE4" w:rsidR="007C71F7" w:rsidRPr="006C10A4" w:rsidRDefault="006C10A4" w:rsidP="006C10A4">
            <w:pPr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b/>
                <w:sz w:val="20"/>
                <w:szCs w:val="20"/>
              </w:rPr>
              <w:t>Offspring</w:t>
            </w: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 – a person or animals young</w:t>
            </w:r>
          </w:p>
        </w:tc>
        <w:tc>
          <w:tcPr>
            <w:tcW w:w="7088" w:type="dxa"/>
          </w:tcPr>
          <w:p w14:paraId="4F0AD97A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Reporting and presenting findings from enquiries, including conclusions, casual relationships and explanations of and degree </w:t>
            </w:r>
          </w:p>
          <w:p w14:paraId="6E45EACB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sz w:val="20"/>
                <w:szCs w:val="20"/>
              </w:rPr>
              <w:t>of trust in results, oral and written forms such as displays and other presentations</w:t>
            </w:r>
          </w:p>
          <w:p w14:paraId="0B4D66E9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3371A12F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sz w:val="20"/>
                <w:szCs w:val="20"/>
              </w:rPr>
              <w:t xml:space="preserve">Identifying scientific evidence that has been used to support or refute ideas or arguments. </w:t>
            </w:r>
          </w:p>
          <w:p w14:paraId="294145D1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</w:p>
          <w:p w14:paraId="4820302D" w14:textId="77777777" w:rsidR="006C10A4" w:rsidRPr="006C10A4" w:rsidRDefault="006C10A4" w:rsidP="006C10A4">
            <w:pPr>
              <w:rPr>
                <w:rFonts w:eastAsiaTheme="majorEastAsia" w:cstheme="minorHAnsi"/>
                <w:sz w:val="20"/>
                <w:szCs w:val="20"/>
              </w:rPr>
            </w:pPr>
            <w:r w:rsidRPr="006C10A4">
              <w:rPr>
                <w:rFonts w:eastAsiaTheme="majorEastAsia" w:cstheme="minorHAnsi"/>
                <w:sz w:val="20"/>
                <w:szCs w:val="20"/>
              </w:rPr>
              <w:t>Explore and talk about their ideas; asking their own questions about scientific phenomena; and analysing functions, relationships and interactions more systematically</w:t>
            </w:r>
          </w:p>
          <w:p w14:paraId="74E549FB" w14:textId="77777777" w:rsidR="007C71F7" w:rsidRPr="006C10A4" w:rsidRDefault="007C71F7" w:rsidP="00D31322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</w:tbl>
    <w:p w14:paraId="086896E8" w14:textId="77777777" w:rsidR="007C71F7" w:rsidRPr="006C10A4" w:rsidRDefault="007C71F7" w:rsidP="00ED3A21">
      <w:pPr>
        <w:jc w:val="both"/>
        <w:rPr>
          <w:rFonts w:cstheme="minorHAnsi"/>
          <w:sz w:val="20"/>
          <w:szCs w:val="20"/>
        </w:rPr>
      </w:pPr>
    </w:p>
    <w:p w14:paraId="280D7C3A" w14:textId="614E519D" w:rsidR="000D1678" w:rsidRPr="006C10A4" w:rsidRDefault="000D1678" w:rsidP="00ED3A21">
      <w:pPr>
        <w:jc w:val="both"/>
        <w:rPr>
          <w:rFonts w:cstheme="minorHAnsi"/>
          <w:sz w:val="20"/>
          <w:szCs w:val="20"/>
        </w:rPr>
      </w:pPr>
    </w:p>
    <w:p w14:paraId="67E4A8EC" w14:textId="6DADC202" w:rsidR="000D1678" w:rsidRPr="006C10A4" w:rsidRDefault="00ED3A21" w:rsidP="00ED3A21">
      <w:pPr>
        <w:jc w:val="both"/>
        <w:rPr>
          <w:rFonts w:cstheme="minorHAnsi"/>
          <w:b/>
          <w:sz w:val="20"/>
          <w:szCs w:val="20"/>
        </w:rPr>
      </w:pPr>
      <w:r w:rsidRPr="006C10A4">
        <w:rPr>
          <w:rFonts w:cstheme="minorHAnsi"/>
          <w:b/>
          <w:sz w:val="20"/>
          <w:szCs w:val="20"/>
        </w:rPr>
        <w:t>Home Learning</w:t>
      </w:r>
    </w:p>
    <w:p w14:paraId="3DF8BF5D" w14:textId="0C1C9B57" w:rsidR="00ED3A21" w:rsidRPr="006C10A4" w:rsidRDefault="00ED3A21" w:rsidP="00ED3A21">
      <w:pPr>
        <w:jc w:val="both"/>
        <w:rPr>
          <w:rFonts w:cstheme="minorHAnsi"/>
          <w:sz w:val="20"/>
          <w:szCs w:val="20"/>
        </w:rPr>
      </w:pPr>
      <w:r w:rsidRPr="006C10A4">
        <w:rPr>
          <w:rFonts w:cstheme="minorHAnsi"/>
          <w:sz w:val="20"/>
          <w:szCs w:val="20"/>
        </w:rPr>
        <w:t xml:space="preserve">We would like all children to read their Accelerated Reader book as often as they can, but at least three times a week for about 20 minutes a time. They need to learn their spellings. We would also like them to spend time practising their maths skills using Mathletics and </w:t>
      </w:r>
      <w:proofErr w:type="spellStart"/>
      <w:r w:rsidRPr="006C10A4">
        <w:rPr>
          <w:rFonts w:cstheme="minorHAnsi"/>
          <w:sz w:val="20"/>
          <w:szCs w:val="20"/>
        </w:rPr>
        <w:t>TTRockstars</w:t>
      </w:r>
      <w:proofErr w:type="spellEnd"/>
      <w:r w:rsidRPr="006C10A4">
        <w:rPr>
          <w:rFonts w:cstheme="minorHAnsi"/>
          <w:sz w:val="20"/>
          <w:szCs w:val="20"/>
        </w:rPr>
        <w:t xml:space="preserve">. </w:t>
      </w:r>
    </w:p>
    <w:p w14:paraId="0BC6D632" w14:textId="77777777" w:rsidR="000D1678" w:rsidRPr="006C10A4" w:rsidRDefault="000D1678" w:rsidP="00ED3A21">
      <w:pPr>
        <w:jc w:val="both"/>
        <w:rPr>
          <w:rFonts w:cstheme="minorHAnsi"/>
          <w:sz w:val="20"/>
          <w:szCs w:val="20"/>
        </w:rPr>
      </w:pPr>
    </w:p>
    <w:sectPr w:rsidR="000D1678" w:rsidRPr="006C10A4" w:rsidSect="00707168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5483" w14:textId="77777777" w:rsidR="00486209" w:rsidRDefault="00486209" w:rsidP="00ED3A21">
      <w:r>
        <w:separator/>
      </w:r>
    </w:p>
  </w:endnote>
  <w:endnote w:type="continuationSeparator" w:id="0">
    <w:p w14:paraId="11FCF2E9" w14:textId="77777777" w:rsidR="00486209" w:rsidRDefault="00486209" w:rsidP="00ED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5D03" w14:textId="77777777" w:rsidR="00486209" w:rsidRDefault="00486209" w:rsidP="00ED3A21">
      <w:r>
        <w:separator/>
      </w:r>
    </w:p>
  </w:footnote>
  <w:footnote w:type="continuationSeparator" w:id="0">
    <w:p w14:paraId="73940A73" w14:textId="77777777" w:rsidR="00486209" w:rsidRDefault="00486209" w:rsidP="00ED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92F8" w14:textId="151763EF" w:rsidR="00ED3A21" w:rsidRDefault="00ED3A21" w:rsidP="00ED3A21">
    <w:pPr>
      <w:pStyle w:val="Header"/>
      <w:jc w:val="center"/>
    </w:pPr>
    <w:r>
      <w:rPr>
        <w:noProof/>
      </w:rPr>
      <w:drawing>
        <wp:inline distT="0" distB="0" distL="0" distR="0" wp14:anchorId="3D617981" wp14:editId="1023EE82">
          <wp:extent cx="501267" cy="5012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631" cy="50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22"/>
    <w:rsid w:val="00000535"/>
    <w:rsid w:val="0008325C"/>
    <w:rsid w:val="000D1678"/>
    <w:rsid w:val="0014663D"/>
    <w:rsid w:val="00313EDA"/>
    <w:rsid w:val="00401A2C"/>
    <w:rsid w:val="00451F22"/>
    <w:rsid w:val="00486209"/>
    <w:rsid w:val="00582E18"/>
    <w:rsid w:val="00695756"/>
    <w:rsid w:val="006C10A4"/>
    <w:rsid w:val="00707168"/>
    <w:rsid w:val="00734E7B"/>
    <w:rsid w:val="00737102"/>
    <w:rsid w:val="007A1D4A"/>
    <w:rsid w:val="007C71F7"/>
    <w:rsid w:val="007E40AB"/>
    <w:rsid w:val="007F2063"/>
    <w:rsid w:val="00871DE5"/>
    <w:rsid w:val="00902B41"/>
    <w:rsid w:val="009C4E32"/>
    <w:rsid w:val="00B25002"/>
    <w:rsid w:val="00B364F7"/>
    <w:rsid w:val="00BF735F"/>
    <w:rsid w:val="00C472A6"/>
    <w:rsid w:val="00C65343"/>
    <w:rsid w:val="00D31322"/>
    <w:rsid w:val="00DC5E9F"/>
    <w:rsid w:val="00DD5FB5"/>
    <w:rsid w:val="00E34DB7"/>
    <w:rsid w:val="00E86422"/>
    <w:rsid w:val="00ED3A21"/>
    <w:rsid w:val="00F05C45"/>
    <w:rsid w:val="00F261D9"/>
    <w:rsid w:val="00F34E8F"/>
    <w:rsid w:val="00F54320"/>
    <w:rsid w:val="00FA6016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AD05F"/>
  <w14:defaultImageDpi w14:val="32767"/>
  <w15:chartTrackingRefBased/>
  <w15:docId w15:val="{0A3FA5A3-FDD2-B541-BCDB-A3B3C6B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4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16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21"/>
  </w:style>
  <w:style w:type="paragraph" w:styleId="Footer">
    <w:name w:val="footer"/>
    <w:basedOn w:val="Normal"/>
    <w:link w:val="FooterChar"/>
    <w:uiPriority w:val="99"/>
    <w:unhideWhenUsed/>
    <w:rsid w:val="00ED3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21"/>
  </w:style>
  <w:style w:type="paragraph" w:styleId="ListParagraph">
    <w:name w:val="List Paragraph"/>
    <w:basedOn w:val="Normal"/>
    <w:uiPriority w:val="34"/>
    <w:qFormat/>
    <w:rsid w:val="007C71F7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Roy Souter</cp:lastModifiedBy>
  <cp:revision>3</cp:revision>
  <cp:lastPrinted>2019-09-11T08:49:00Z</cp:lastPrinted>
  <dcterms:created xsi:type="dcterms:W3CDTF">2020-02-03T11:29:00Z</dcterms:created>
  <dcterms:modified xsi:type="dcterms:W3CDTF">2020-02-03T13:37:00Z</dcterms:modified>
</cp:coreProperties>
</file>